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98E" w:rsidRPr="00FA498E" w:rsidRDefault="00FA498E" w:rsidP="00FA498E">
      <w:pPr>
        <w:jc w:val="center"/>
        <w:rPr>
          <w:b/>
          <w:sz w:val="28"/>
        </w:rPr>
      </w:pPr>
      <w:r w:rsidRPr="00FA498E">
        <w:rPr>
          <w:b/>
          <w:sz w:val="28"/>
        </w:rPr>
        <w:t>ПРИЧИНЫ, ПО КОТОРЫМ МОГУТ ОТКАЗАТЬ</w:t>
      </w:r>
    </w:p>
    <w:p w:rsidR="00FA498E" w:rsidRPr="00FA498E" w:rsidRDefault="00FA498E" w:rsidP="00FA498E">
      <w:pPr>
        <w:jc w:val="center"/>
        <w:rPr>
          <w:b/>
          <w:sz w:val="28"/>
        </w:rPr>
      </w:pPr>
      <w:r w:rsidRPr="00FA498E">
        <w:rPr>
          <w:b/>
          <w:sz w:val="28"/>
        </w:rPr>
        <w:t>В ГОСРЕГИСТРАЦИИ</w:t>
      </w:r>
    </w:p>
    <w:p w:rsidR="00FA498E" w:rsidRPr="00FA498E" w:rsidRDefault="00FA498E" w:rsidP="00FA498E">
      <w:pPr>
        <w:jc w:val="both"/>
        <w:rPr>
          <w:sz w:val="28"/>
        </w:rPr>
      </w:pPr>
    </w:p>
    <w:p w:rsidR="00FA498E" w:rsidRPr="00FA498E" w:rsidRDefault="00FA498E" w:rsidP="00FA498E">
      <w:pPr>
        <w:jc w:val="both"/>
        <w:rPr>
          <w:sz w:val="28"/>
        </w:rPr>
      </w:pPr>
      <w:r w:rsidRPr="00FA498E">
        <w:rPr>
          <w:sz w:val="28"/>
        </w:rPr>
        <w:t xml:space="preserve">          </w:t>
      </w:r>
      <w:proofErr w:type="gramStart"/>
      <w:r w:rsidRPr="00FA498E">
        <w:rPr>
          <w:sz w:val="28"/>
        </w:rPr>
        <w:t>Государственная регистрация юридических лиц и индивидуальных предпринимателей - это акты уполномоченного федерального органа исполнительной власти, осуществляемые посредством внесения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таковых, иных сведений о юридических лицах и об индивидуальных предпринимателях в соответствии с Федеральным законом от 08.08.2001 N 129-ФЗ "О</w:t>
      </w:r>
      <w:proofErr w:type="gramEnd"/>
      <w:r w:rsidRPr="00FA498E">
        <w:rPr>
          <w:sz w:val="28"/>
        </w:rPr>
        <w:t xml:space="preserve"> государственной регистрации юридических лиц и индивидуальных предпринимателей" (далее - Федеральный закон N 129-ФЗ).</w:t>
      </w:r>
    </w:p>
    <w:p w:rsidR="00FA498E" w:rsidRPr="00FA498E" w:rsidRDefault="00FA498E" w:rsidP="00FA498E">
      <w:pPr>
        <w:jc w:val="both"/>
        <w:rPr>
          <w:sz w:val="28"/>
        </w:rPr>
      </w:pPr>
      <w:r w:rsidRPr="00FA498E">
        <w:rPr>
          <w:sz w:val="28"/>
        </w:rPr>
        <w:t xml:space="preserve">            </w:t>
      </w:r>
      <w:proofErr w:type="gramStart"/>
      <w:r w:rsidRPr="00FA498E">
        <w:rPr>
          <w:sz w:val="28"/>
        </w:rPr>
        <w:t>К основным ошибкам заявителей при регистрации компаний и индивидуальных предпринимателей можно отнести такие как:</w:t>
      </w:r>
      <w:proofErr w:type="gramEnd"/>
    </w:p>
    <w:p w:rsidR="00FA498E" w:rsidRPr="00FA498E" w:rsidRDefault="00FA498E" w:rsidP="00FA498E">
      <w:pPr>
        <w:jc w:val="both"/>
        <w:rPr>
          <w:sz w:val="28"/>
        </w:rPr>
      </w:pPr>
      <w:r w:rsidRPr="00FA498E">
        <w:rPr>
          <w:sz w:val="28"/>
        </w:rPr>
        <w:t>▪ Отсутствие  сведений об адресе электронной почты в представленных для государственной регистрации заявлениях и уведомлениях. Адрес электронной почты обязательно указывается в случае направления в регистрирующий орган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A498E" w:rsidRPr="00FA498E" w:rsidRDefault="00FA498E" w:rsidP="00FA498E">
      <w:pPr>
        <w:jc w:val="both"/>
        <w:rPr>
          <w:sz w:val="28"/>
        </w:rPr>
      </w:pPr>
      <w:proofErr w:type="gramStart"/>
      <w:r w:rsidRPr="00FA498E">
        <w:rPr>
          <w:sz w:val="28"/>
        </w:rPr>
        <w:t>▪ Отсутствие  необходимых сведений в решении о создании компании, например отсутствие в решении о создании общества с ограниченной ответственностью сведений о размере и номинальной стоимости доли единственного учредителя, порядке и сроках оплаты уставного капитала общества.</w:t>
      </w:r>
      <w:proofErr w:type="gramEnd"/>
    </w:p>
    <w:p w:rsidR="00FA498E" w:rsidRPr="00FA498E" w:rsidRDefault="00FA498E" w:rsidP="00FA498E">
      <w:pPr>
        <w:jc w:val="both"/>
        <w:rPr>
          <w:sz w:val="28"/>
        </w:rPr>
      </w:pPr>
      <w:r w:rsidRPr="00FA498E">
        <w:rPr>
          <w:sz w:val="28"/>
        </w:rPr>
        <w:t>▪ Указание недостоверных сведений об адресе места нахождения юридического лица (юридического адреса).</w:t>
      </w:r>
    </w:p>
    <w:p w:rsidR="00FA498E" w:rsidRPr="00FA498E" w:rsidRDefault="00FA498E" w:rsidP="00FA498E">
      <w:pPr>
        <w:jc w:val="both"/>
        <w:rPr>
          <w:sz w:val="28"/>
        </w:rPr>
      </w:pPr>
      <w:r w:rsidRPr="00FA498E">
        <w:rPr>
          <w:sz w:val="28"/>
        </w:rPr>
        <w:t>▪ Руководитель организации относится к категории "массовый руководитель".</w:t>
      </w:r>
    </w:p>
    <w:p w:rsidR="00FA498E" w:rsidRPr="00FA498E" w:rsidRDefault="00FA498E" w:rsidP="00FA498E">
      <w:pPr>
        <w:jc w:val="both"/>
        <w:rPr>
          <w:sz w:val="28"/>
        </w:rPr>
      </w:pPr>
      <w:r w:rsidRPr="00FA498E">
        <w:rPr>
          <w:sz w:val="28"/>
        </w:rPr>
        <w:t xml:space="preserve">           </w:t>
      </w:r>
      <w:proofErr w:type="gramStart"/>
      <w:r w:rsidRPr="00FA498E">
        <w:rPr>
          <w:sz w:val="28"/>
        </w:rPr>
        <w:t>Напомним, что с 01.01.2016 в силу Федерального закона от 30.03.2015 N 67-ФЗ "О внесении изменений в отдельные законодательные акты Российской Федерации в части обеспечения достоверности сведений, представляемых при государственной регистрации юридических лиц и индивидуальных предпринимателей" введены дополнительные основания для отказа в государственной регистрации для определенных категорий лиц, задействованных ранее в деятельности юридических лиц, нарушивших законодательство.</w:t>
      </w:r>
      <w:proofErr w:type="gramEnd"/>
      <w:r w:rsidRPr="00FA498E">
        <w:rPr>
          <w:sz w:val="28"/>
        </w:rPr>
        <w:t xml:space="preserve"> Ограничение на три года для внесения в ЕГРЮЛ сведений о лице как о постоянно действующем исполнительном органе или участнике (учредителе) юридического лица применяется в случае наличия у данного лица подобного статуса в отношении юридического лица:</w:t>
      </w:r>
    </w:p>
    <w:p w:rsidR="00FA498E" w:rsidRPr="00FA498E" w:rsidRDefault="00FA498E" w:rsidP="00FA498E">
      <w:pPr>
        <w:jc w:val="both"/>
        <w:rPr>
          <w:sz w:val="28"/>
        </w:rPr>
      </w:pPr>
      <w:r w:rsidRPr="00FA498E">
        <w:rPr>
          <w:sz w:val="28"/>
        </w:rPr>
        <w:t>- исключенного из реестра как недействующее юридическое лицо с задолженностью перед бюджетом (также при ее списании по причине наличия у юридического лица признаков недействующего);</w:t>
      </w:r>
    </w:p>
    <w:p w:rsidR="00FA498E" w:rsidRPr="00FA498E" w:rsidRDefault="00FA498E" w:rsidP="00FA498E">
      <w:pPr>
        <w:jc w:val="both"/>
        <w:rPr>
          <w:sz w:val="28"/>
        </w:rPr>
      </w:pPr>
      <w:r w:rsidRPr="00FA498E">
        <w:rPr>
          <w:sz w:val="28"/>
        </w:rPr>
        <w:t xml:space="preserve">- по </w:t>
      </w:r>
      <w:proofErr w:type="gramStart"/>
      <w:r w:rsidRPr="00FA498E">
        <w:rPr>
          <w:sz w:val="28"/>
        </w:rPr>
        <w:t>которому</w:t>
      </w:r>
      <w:proofErr w:type="gramEnd"/>
      <w:r w:rsidRPr="00FA498E">
        <w:rPr>
          <w:sz w:val="28"/>
        </w:rPr>
        <w:t xml:space="preserve"> в ЕГРЮЛ содержится запись о недостоверности;</w:t>
      </w:r>
    </w:p>
    <w:p w:rsidR="00FA498E" w:rsidRPr="00FA498E" w:rsidRDefault="00FA498E" w:rsidP="00FA498E">
      <w:pPr>
        <w:jc w:val="both"/>
        <w:rPr>
          <w:sz w:val="28"/>
        </w:rPr>
      </w:pPr>
      <w:r w:rsidRPr="00FA498E">
        <w:rPr>
          <w:sz w:val="28"/>
        </w:rPr>
        <w:t xml:space="preserve">- по </w:t>
      </w:r>
      <w:proofErr w:type="gramStart"/>
      <w:r w:rsidRPr="00FA498E">
        <w:rPr>
          <w:sz w:val="28"/>
        </w:rPr>
        <w:t>которому</w:t>
      </w:r>
      <w:proofErr w:type="gramEnd"/>
      <w:r w:rsidRPr="00FA498E">
        <w:rPr>
          <w:sz w:val="28"/>
        </w:rPr>
        <w:t xml:space="preserve"> не исполнено решение суда о принудительной ликвидации.</w:t>
      </w:r>
    </w:p>
    <w:p w:rsidR="00FA498E" w:rsidRPr="00FA498E" w:rsidRDefault="00FA498E" w:rsidP="00FA498E">
      <w:pPr>
        <w:ind w:firstLine="709"/>
        <w:jc w:val="both"/>
        <w:rPr>
          <w:sz w:val="28"/>
        </w:rPr>
      </w:pPr>
      <w:r w:rsidRPr="00FA498E">
        <w:rPr>
          <w:sz w:val="28"/>
        </w:rPr>
        <w:lastRenderedPageBreak/>
        <w:t xml:space="preserve">Регистрирующие органы откажут в регистрации юридического лица, если выяснится, что заявитель ранее являлся "массовым руководителем", то есть был учредителем ряда компаний, исключенных из ЕГРЮЛ. В том </w:t>
      </w:r>
      <w:proofErr w:type="gramStart"/>
      <w:r w:rsidRPr="00FA498E">
        <w:rPr>
          <w:sz w:val="28"/>
        </w:rPr>
        <w:t>числе</w:t>
      </w:r>
      <w:proofErr w:type="gramEnd"/>
      <w:r w:rsidRPr="00FA498E">
        <w:rPr>
          <w:sz w:val="28"/>
        </w:rPr>
        <w:t xml:space="preserve"> если на момент подачи документов в налоговый орган не прошло трех лет с момента исключения данных компаний из реестра.</w:t>
      </w:r>
    </w:p>
    <w:p w:rsidR="00BF4C2E" w:rsidRPr="00FA498E" w:rsidRDefault="00FA498E" w:rsidP="00FA498E">
      <w:pPr>
        <w:ind w:firstLine="709"/>
        <w:jc w:val="both"/>
        <w:rPr>
          <w:sz w:val="28"/>
        </w:rPr>
      </w:pPr>
      <w:bookmarkStart w:id="0" w:name="_GoBack"/>
      <w:bookmarkEnd w:id="0"/>
      <w:r w:rsidRPr="00FA498E">
        <w:rPr>
          <w:sz w:val="28"/>
        </w:rPr>
        <w:t>Чтобы избежать негативных моментов, связанных с отказом в регистрации, а также финансовых потерь, необходимо четко соблюдать предписания Федерального закона N 129-ФЗ, не допускать неточн</w:t>
      </w:r>
      <w:r>
        <w:rPr>
          <w:sz w:val="28"/>
        </w:rPr>
        <w:t xml:space="preserve">остей в оформлении документов. </w:t>
      </w:r>
    </w:p>
    <w:p w:rsidR="00FA498E" w:rsidRPr="00FA498E" w:rsidRDefault="00FA498E" w:rsidP="00FA498E">
      <w:pPr>
        <w:jc w:val="both"/>
        <w:rPr>
          <w:sz w:val="28"/>
        </w:rPr>
      </w:pPr>
    </w:p>
    <w:p w:rsidR="00BF4C2E" w:rsidRDefault="00333692">
      <w:pPr>
        <w:ind w:firstLine="709"/>
        <w:jc w:val="both"/>
        <w:rPr>
          <w:sz w:val="28"/>
        </w:rPr>
      </w:pPr>
      <w:r>
        <w:rPr>
          <w:sz w:val="28"/>
        </w:rPr>
        <w:t xml:space="preserve">                                                              </w:t>
      </w:r>
      <w:r>
        <w:rPr>
          <w:sz w:val="28"/>
        </w:rPr>
        <w:t xml:space="preserve">           </w:t>
      </w:r>
      <w:proofErr w:type="gramStart"/>
      <w:r>
        <w:rPr>
          <w:sz w:val="28"/>
        </w:rPr>
        <w:t>Межрайонная</w:t>
      </w:r>
      <w:proofErr w:type="gramEnd"/>
      <w:r>
        <w:rPr>
          <w:sz w:val="28"/>
        </w:rPr>
        <w:t xml:space="preserve"> ИФНС России №8 по </w:t>
      </w:r>
    </w:p>
    <w:p w:rsidR="00BF4C2E" w:rsidRDefault="00333692">
      <w:pPr>
        <w:ind w:firstLine="709"/>
        <w:jc w:val="both"/>
        <w:rPr>
          <w:sz w:val="28"/>
        </w:rPr>
      </w:pPr>
      <w:r>
        <w:rPr>
          <w:sz w:val="28"/>
        </w:rPr>
        <w:t xml:space="preserve">                                                                         Приморскому краю</w:t>
      </w:r>
    </w:p>
    <w:p w:rsidR="00BF4C2E" w:rsidRDefault="00333692">
      <w:pPr>
        <w:jc w:val="both"/>
        <w:rPr>
          <w:sz w:val="28"/>
        </w:rPr>
      </w:pPr>
      <w:r>
        <w:rPr>
          <w:sz w:val="28"/>
        </w:rPr>
        <w:t> </w:t>
      </w:r>
    </w:p>
    <w:p w:rsidR="00BF4C2E" w:rsidRDefault="00333692">
      <w:pPr>
        <w:rPr>
          <w:sz w:val="28"/>
        </w:rPr>
      </w:pPr>
      <w:r>
        <w:rPr>
          <w:sz w:val="28"/>
        </w:rPr>
        <w:t> </w:t>
      </w:r>
    </w:p>
    <w:p w:rsidR="00BF4C2E" w:rsidRDefault="00BF4C2E">
      <w:pPr>
        <w:jc w:val="center"/>
        <w:rPr>
          <w:b/>
          <w:sz w:val="28"/>
        </w:rPr>
      </w:pPr>
    </w:p>
    <w:sectPr w:rsidR="00BF4C2E">
      <w:headerReference w:type="default" r:id="rId7"/>
      <w:pgSz w:w="11906" w:h="16838"/>
      <w:pgMar w:top="1134" w:right="567" w:bottom="1134" w:left="1134"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692" w:rsidRDefault="00333692">
      <w:r>
        <w:separator/>
      </w:r>
    </w:p>
  </w:endnote>
  <w:endnote w:type="continuationSeparator" w:id="0">
    <w:p w:rsidR="00333692" w:rsidRDefault="0033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692" w:rsidRDefault="00333692">
      <w:r>
        <w:separator/>
      </w:r>
    </w:p>
  </w:footnote>
  <w:footnote w:type="continuationSeparator" w:id="0">
    <w:p w:rsidR="00333692" w:rsidRDefault="00333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C2E" w:rsidRDefault="00333692">
    <w:pPr>
      <w:framePr w:wrap="around" w:vAnchor="text" w:hAnchor="margin" w:xAlign="center" w:y="1"/>
    </w:pPr>
    <w:r>
      <w:fldChar w:fldCharType="begin"/>
    </w:r>
    <w:r>
      <w:instrText>PAGE \* Arabic</w:instrText>
    </w:r>
    <w:r w:rsidR="00FA498E">
      <w:fldChar w:fldCharType="separate"/>
    </w:r>
    <w:r w:rsidR="00FA498E">
      <w:rPr>
        <w:noProof/>
      </w:rPr>
      <w:t>2</w:t>
    </w:r>
    <w:r>
      <w:fldChar w:fldCharType="end"/>
    </w:r>
  </w:p>
  <w:p w:rsidR="00BF4C2E" w:rsidRDefault="00BF4C2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2E"/>
    <w:rsid w:val="00333692"/>
    <w:rsid w:val="00BF4C2E"/>
    <w:rsid w:val="00FA4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0" w:line="240" w:lineRule="auto"/>
    </w:pPr>
    <w:rPr>
      <w:rFonts w:ascii="Times New Roman" w:hAnsi="Times New Roman"/>
      <w:sz w:val="20"/>
    </w:rPr>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0"/>
    </w:rPr>
  </w:style>
  <w:style w:type="paragraph" w:customStyle="1" w:styleId="12">
    <w:name w:val="Основной шрифт абзаца1"/>
    <w:link w:val="2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rPr>
  </w:style>
  <w:style w:type="paragraph" w:customStyle="1" w:styleId="23">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link w:val="24"/>
    <w:pPr>
      <w:spacing w:after="160" w:line="240" w:lineRule="exact"/>
    </w:pPr>
    <w:rPr>
      <w:sz w:val="28"/>
    </w:rPr>
  </w:style>
  <w:style w:type="character" w:customStyle="1" w:styleId="24">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1"/>
    <w:link w:val="23"/>
    <w:rPr>
      <w:rFonts w:ascii="Times New Roman" w:hAnsi="Times New Roman"/>
      <w:sz w:val="28"/>
    </w:rPr>
  </w:style>
  <w:style w:type="paragraph" w:customStyle="1" w:styleId="13">
    <w:name w:val="Обычный1"/>
    <w:link w:val="14"/>
    <w:rPr>
      <w:rFonts w:ascii="Times New Roman" w:hAnsi="Times New Roman"/>
      <w:sz w:val="20"/>
    </w:rPr>
  </w:style>
  <w:style w:type="character" w:customStyle="1" w:styleId="14">
    <w:name w:val="Обычный1"/>
    <w:link w:val="13"/>
    <w:rPr>
      <w:rFonts w:ascii="Times New Roman" w:hAnsi="Times New Roman"/>
      <w:sz w:val="20"/>
    </w:rPr>
  </w:style>
  <w:style w:type="paragraph" w:customStyle="1" w:styleId="15">
    <w:name w:val="Основной шрифт абзаца1"/>
    <w:link w:val="16"/>
  </w:style>
  <w:style w:type="character" w:customStyle="1" w:styleId="16">
    <w:name w:val="Основной шрифт абзаца1"/>
    <w:link w:val="15"/>
  </w:style>
  <w:style w:type="paragraph" w:customStyle="1" w:styleId="25">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link w:val="26"/>
    <w:pPr>
      <w:spacing w:after="160" w:line="240" w:lineRule="exact"/>
    </w:pPr>
    <w:rPr>
      <w:sz w:val="28"/>
    </w:rPr>
  </w:style>
  <w:style w:type="character" w:customStyle="1" w:styleId="26">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1"/>
    <w:link w:val="25"/>
    <w:rPr>
      <w:rFonts w:ascii="Times New Roman" w:hAnsi="Times New Roman"/>
      <w:sz w:val="28"/>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27">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link w:val="28"/>
    <w:pPr>
      <w:spacing w:after="160" w:line="240" w:lineRule="exact"/>
    </w:pPr>
    <w:rPr>
      <w:sz w:val="28"/>
    </w:rPr>
  </w:style>
  <w:style w:type="character" w:customStyle="1" w:styleId="28">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1"/>
    <w:link w:val="27"/>
    <w:rPr>
      <w:rFonts w:ascii="Times New Roman" w:hAnsi="Times New Roman"/>
      <w:sz w:val="28"/>
    </w:rPr>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9">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link w:val="2a"/>
    <w:pPr>
      <w:spacing w:after="160" w:line="240" w:lineRule="exact"/>
    </w:pPr>
    <w:rPr>
      <w:sz w:val="28"/>
    </w:rPr>
  </w:style>
  <w:style w:type="character" w:customStyle="1" w:styleId="2a">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1"/>
    <w:link w:val="29"/>
    <w:rPr>
      <w:rFonts w:ascii="Times New Roman" w:hAnsi="Times New Roman"/>
      <w:sz w:val="28"/>
    </w:rPr>
  </w:style>
  <w:style w:type="paragraph" w:customStyle="1" w:styleId="17">
    <w:name w:val="Гиперссылка1"/>
    <w:link w:val="18"/>
    <w:rPr>
      <w:color w:val="0000FF"/>
      <w:u w:val="single"/>
    </w:rPr>
  </w:style>
  <w:style w:type="character" w:customStyle="1" w:styleId="18">
    <w:name w:val="Гиперссылка1"/>
    <w:link w:val="17"/>
    <w:rPr>
      <w:color w:val="0000FF"/>
      <w:u w:val="single"/>
    </w:rPr>
  </w:style>
  <w:style w:type="paragraph" w:customStyle="1" w:styleId="2b">
    <w:name w:val="Гиперссылка2"/>
    <w:link w:val="a3"/>
    <w:rPr>
      <w:color w:val="0000FF"/>
      <w:u w:val="single"/>
    </w:rPr>
  </w:style>
  <w:style w:type="character" w:styleId="a3">
    <w:name w:val="Hyperlink"/>
    <w:link w:val="2b"/>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4">
    <w:name w:val="Balloon Text"/>
    <w:basedOn w:val="a"/>
    <w:link w:val="a5"/>
    <w:rPr>
      <w:rFonts w:ascii="Tahoma" w:hAnsi="Tahoma"/>
      <w:sz w:val="16"/>
    </w:rPr>
  </w:style>
  <w:style w:type="character" w:customStyle="1" w:styleId="a5">
    <w:name w:val="Текст выноски Знак"/>
    <w:basedOn w:val="1"/>
    <w:link w:val="a4"/>
    <w:rPr>
      <w:rFonts w:ascii="Tahoma" w:hAnsi="Tahoma"/>
      <w:sz w:val="16"/>
    </w:rPr>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6">
    <w:name w:val="Subtitle"/>
    <w:next w:val="a"/>
    <w:link w:val="a7"/>
    <w:uiPriority w:val="11"/>
    <w:qFormat/>
    <w:rPr>
      <w:rFonts w:ascii="XO Thames" w:hAnsi="XO Thames"/>
      <w:i/>
      <w:color w:val="616161"/>
      <w:sz w:val="24"/>
    </w:rPr>
  </w:style>
  <w:style w:type="character" w:customStyle="1" w:styleId="a7">
    <w:name w:val="Подзаголовок Знак"/>
    <w:link w:val="a6"/>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8">
    <w:name w:val="Title"/>
    <w:next w:val="a"/>
    <w:link w:val="a9"/>
    <w:uiPriority w:val="10"/>
    <w:qFormat/>
    <w:rPr>
      <w:rFonts w:ascii="XO Thames" w:hAnsi="XO Thames"/>
      <w:b/>
      <w:sz w:val="52"/>
    </w:rPr>
  </w:style>
  <w:style w:type="character" w:customStyle="1" w:styleId="a9">
    <w:name w:val="Название Знак"/>
    <w:link w:val="a8"/>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0" w:line="240" w:lineRule="auto"/>
    </w:pPr>
    <w:rPr>
      <w:rFonts w:ascii="Times New Roman" w:hAnsi="Times New Roman"/>
      <w:sz w:val="20"/>
    </w:rPr>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0"/>
    </w:rPr>
  </w:style>
  <w:style w:type="paragraph" w:customStyle="1" w:styleId="12">
    <w:name w:val="Основной шрифт абзаца1"/>
    <w:link w:val="2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rPr>
  </w:style>
  <w:style w:type="paragraph" w:customStyle="1" w:styleId="23">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link w:val="24"/>
    <w:pPr>
      <w:spacing w:after="160" w:line="240" w:lineRule="exact"/>
    </w:pPr>
    <w:rPr>
      <w:sz w:val="28"/>
    </w:rPr>
  </w:style>
  <w:style w:type="character" w:customStyle="1" w:styleId="24">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1"/>
    <w:link w:val="23"/>
    <w:rPr>
      <w:rFonts w:ascii="Times New Roman" w:hAnsi="Times New Roman"/>
      <w:sz w:val="28"/>
    </w:rPr>
  </w:style>
  <w:style w:type="paragraph" w:customStyle="1" w:styleId="13">
    <w:name w:val="Обычный1"/>
    <w:link w:val="14"/>
    <w:rPr>
      <w:rFonts w:ascii="Times New Roman" w:hAnsi="Times New Roman"/>
      <w:sz w:val="20"/>
    </w:rPr>
  </w:style>
  <w:style w:type="character" w:customStyle="1" w:styleId="14">
    <w:name w:val="Обычный1"/>
    <w:link w:val="13"/>
    <w:rPr>
      <w:rFonts w:ascii="Times New Roman" w:hAnsi="Times New Roman"/>
      <w:sz w:val="20"/>
    </w:rPr>
  </w:style>
  <w:style w:type="paragraph" w:customStyle="1" w:styleId="15">
    <w:name w:val="Основной шрифт абзаца1"/>
    <w:link w:val="16"/>
  </w:style>
  <w:style w:type="character" w:customStyle="1" w:styleId="16">
    <w:name w:val="Основной шрифт абзаца1"/>
    <w:link w:val="15"/>
  </w:style>
  <w:style w:type="paragraph" w:customStyle="1" w:styleId="25">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link w:val="26"/>
    <w:pPr>
      <w:spacing w:after="160" w:line="240" w:lineRule="exact"/>
    </w:pPr>
    <w:rPr>
      <w:sz w:val="28"/>
    </w:rPr>
  </w:style>
  <w:style w:type="character" w:customStyle="1" w:styleId="26">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1"/>
    <w:link w:val="25"/>
    <w:rPr>
      <w:rFonts w:ascii="Times New Roman" w:hAnsi="Times New Roman"/>
      <w:sz w:val="28"/>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27">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link w:val="28"/>
    <w:pPr>
      <w:spacing w:after="160" w:line="240" w:lineRule="exact"/>
    </w:pPr>
    <w:rPr>
      <w:sz w:val="28"/>
    </w:rPr>
  </w:style>
  <w:style w:type="character" w:customStyle="1" w:styleId="28">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1"/>
    <w:link w:val="27"/>
    <w:rPr>
      <w:rFonts w:ascii="Times New Roman" w:hAnsi="Times New Roman"/>
      <w:sz w:val="28"/>
    </w:rPr>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9">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link w:val="2a"/>
    <w:pPr>
      <w:spacing w:after="160" w:line="240" w:lineRule="exact"/>
    </w:pPr>
    <w:rPr>
      <w:sz w:val="28"/>
    </w:rPr>
  </w:style>
  <w:style w:type="character" w:customStyle="1" w:styleId="2a">
    <w:name w:val="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1"/>
    <w:link w:val="29"/>
    <w:rPr>
      <w:rFonts w:ascii="Times New Roman" w:hAnsi="Times New Roman"/>
      <w:sz w:val="28"/>
    </w:rPr>
  </w:style>
  <w:style w:type="paragraph" w:customStyle="1" w:styleId="17">
    <w:name w:val="Гиперссылка1"/>
    <w:link w:val="18"/>
    <w:rPr>
      <w:color w:val="0000FF"/>
      <w:u w:val="single"/>
    </w:rPr>
  </w:style>
  <w:style w:type="character" w:customStyle="1" w:styleId="18">
    <w:name w:val="Гиперссылка1"/>
    <w:link w:val="17"/>
    <w:rPr>
      <w:color w:val="0000FF"/>
      <w:u w:val="single"/>
    </w:rPr>
  </w:style>
  <w:style w:type="paragraph" w:customStyle="1" w:styleId="2b">
    <w:name w:val="Гиперссылка2"/>
    <w:link w:val="a3"/>
    <w:rPr>
      <w:color w:val="0000FF"/>
      <w:u w:val="single"/>
    </w:rPr>
  </w:style>
  <w:style w:type="character" w:styleId="a3">
    <w:name w:val="Hyperlink"/>
    <w:link w:val="2b"/>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4">
    <w:name w:val="Balloon Text"/>
    <w:basedOn w:val="a"/>
    <w:link w:val="a5"/>
    <w:rPr>
      <w:rFonts w:ascii="Tahoma" w:hAnsi="Tahoma"/>
      <w:sz w:val="16"/>
    </w:rPr>
  </w:style>
  <w:style w:type="character" w:customStyle="1" w:styleId="a5">
    <w:name w:val="Текст выноски Знак"/>
    <w:basedOn w:val="1"/>
    <w:link w:val="a4"/>
    <w:rPr>
      <w:rFonts w:ascii="Tahoma" w:hAnsi="Tahoma"/>
      <w:sz w:val="16"/>
    </w:rPr>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6">
    <w:name w:val="Subtitle"/>
    <w:next w:val="a"/>
    <w:link w:val="a7"/>
    <w:uiPriority w:val="11"/>
    <w:qFormat/>
    <w:rPr>
      <w:rFonts w:ascii="XO Thames" w:hAnsi="XO Thames"/>
      <w:i/>
      <w:color w:val="616161"/>
      <w:sz w:val="24"/>
    </w:rPr>
  </w:style>
  <w:style w:type="character" w:customStyle="1" w:styleId="a7">
    <w:name w:val="Подзаголовок Знак"/>
    <w:link w:val="a6"/>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8">
    <w:name w:val="Title"/>
    <w:next w:val="a"/>
    <w:link w:val="a9"/>
    <w:uiPriority w:val="10"/>
    <w:qFormat/>
    <w:rPr>
      <w:rFonts w:ascii="XO Thames" w:hAnsi="XO Thames"/>
      <w:b/>
      <w:sz w:val="52"/>
    </w:rPr>
  </w:style>
  <w:style w:type="character" w:customStyle="1" w:styleId="a9">
    <w:name w:val="Название Знак"/>
    <w:link w:val="a8"/>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MIFNS 8</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 Антонина Дмитриевна</dc:creator>
  <cp:lastModifiedBy>Волкова Антонина Дмитриевна</cp:lastModifiedBy>
  <cp:revision>2</cp:revision>
  <dcterms:created xsi:type="dcterms:W3CDTF">2020-03-23T06:58:00Z</dcterms:created>
  <dcterms:modified xsi:type="dcterms:W3CDTF">2020-03-23T06:58:00Z</dcterms:modified>
</cp:coreProperties>
</file>