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60" w:rsidRPr="00F13E60" w:rsidRDefault="00F13E60" w:rsidP="00F13E60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F13E60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Льготные кредиты и производительность труда: лесопромышленникам-экспортёрам рассказали о мерах поддержки</w:t>
      </w:r>
    </w:p>
    <w:p w:rsidR="00F13E60" w:rsidRPr="00F13E60" w:rsidRDefault="00F13E60" w:rsidP="00F13E60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06825" cy="2136775"/>
            <wp:effectExtent l="19050" t="0" r="3175" b="0"/>
            <wp:docPr id="1" name="Рисунок 1" descr="Льготные кредиты и производительность труда: лесопромышленникам-экспортёрам рассказали о мерах поддер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ьготные кредиты и производительность труда: лесопромышленникам-экспортёрам рассказали о мерах поддерж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60" w:rsidRPr="00F13E60" w:rsidRDefault="00F13E60" w:rsidP="00F13E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13E60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На встрече в центре «Мой бизнес» рассказали о государственных мерах поддержки для компаний лесопромышленного комплекса. Предпринимателям доступны льготные кредиты до 2 </w:t>
      </w:r>
      <w:proofErr w:type="spellStart"/>
      <w:proofErr w:type="gramStart"/>
      <w:r w:rsidRPr="00F13E60">
        <w:rPr>
          <w:rFonts w:eastAsia="Times New Roman"/>
          <w:b/>
          <w:bCs/>
          <w:color w:val="212529"/>
          <w:sz w:val="24"/>
          <w:szCs w:val="24"/>
          <w:lang w:eastAsia="ru-RU"/>
        </w:rPr>
        <w:t>млрд</w:t>
      </w:r>
      <w:proofErr w:type="spellEnd"/>
      <w:proofErr w:type="gramEnd"/>
      <w:r w:rsidRPr="00F13E60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рублей и широкий спектр услуг для экспортеров и производителей.</w:t>
      </w:r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r w:rsidRPr="00F13E60">
        <w:rPr>
          <w:rFonts w:eastAsia="Times New Roman"/>
          <w:b/>
          <w:bCs/>
          <w:color w:val="212529"/>
          <w:sz w:val="24"/>
          <w:szCs w:val="24"/>
          <w:lang w:eastAsia="ru-RU"/>
        </w:rPr>
        <w:t>Актуальность встречи связана с ограничением на вывоз из России необработанного круглого леса с 1 января 2022 года.</w:t>
      </w:r>
    </w:p>
    <w:p w:rsidR="00F13E60" w:rsidRPr="00F13E60" w:rsidRDefault="00F13E60" w:rsidP="00F13E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Директор департамента легкой промышленности и лесопромышленного комплекса </w:t>
      </w:r>
      <w:proofErr w:type="spellStart"/>
      <w:r w:rsidRPr="00F13E60">
        <w:rPr>
          <w:rFonts w:eastAsia="Times New Roman"/>
          <w:color w:val="212529"/>
          <w:sz w:val="24"/>
          <w:szCs w:val="24"/>
          <w:lang w:eastAsia="ru-RU"/>
        </w:rPr>
        <w:t>Минпромторга</w:t>
      </w:r>
      <w:proofErr w:type="spellEnd"/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 России Вера Хмырова подчеркнула, что ограничения на вывоз древесины касаются только хвойных и ценных лиственных пород: экспортные пошлины на другие породы сохранятся на прежнем уровне.</w:t>
      </w:r>
    </w:p>
    <w:p w:rsidR="00F13E60" w:rsidRPr="00F13E60" w:rsidRDefault="00F13E60" w:rsidP="00F13E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Фонд развития промышленности представил ряд льготных кредитов на суммы до 2 </w:t>
      </w:r>
      <w:proofErr w:type="spellStart"/>
      <w:r w:rsidRPr="00F13E60">
        <w:rPr>
          <w:rFonts w:eastAsia="Times New Roman"/>
          <w:color w:val="212529"/>
          <w:sz w:val="24"/>
          <w:szCs w:val="24"/>
          <w:lang w:eastAsia="ru-RU"/>
        </w:rPr>
        <w:t>млрд</w:t>
      </w:r>
      <w:proofErr w:type="spellEnd"/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 рублей и по ставкам от 1% до 3% годовых. Так, программа «Проекты лесной промышленности» направлена на модернизацию производственных мощностей для обработки древесины путем приобретения технологического оборудования. По ней можно получить до 100 </w:t>
      </w:r>
      <w:proofErr w:type="spellStart"/>
      <w:proofErr w:type="gramStart"/>
      <w:r w:rsidRPr="00F13E60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 рублей на срок до трех лет, при этом не действуют ограничения на страну-производителя приобретаемого оборудования.</w:t>
      </w:r>
    </w:p>
    <w:p w:rsidR="00F13E60" w:rsidRPr="00F13E60" w:rsidRDefault="00F13E60" w:rsidP="00F13E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МКК «Фонд развития Приморского края» также представила четыре продукта, которые подойдут компаниям по лесопереработке. Например, по программе «Проекты лесной промышленности» можно получить до 20 </w:t>
      </w:r>
      <w:proofErr w:type="spellStart"/>
      <w:proofErr w:type="gramStart"/>
      <w:r w:rsidRPr="00F13E60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 рублей сроком до трех лет. Ставка составляет 1% годовых при условии покупки российского оборудования, целевые показатели — объем продаж новой продукции, начиная со второго года эксплуатации оборудования, должен составлять не менее половины суммы займа в год.</w:t>
      </w:r>
    </w:p>
    <w:p w:rsidR="00F13E60" w:rsidRPr="00F13E60" w:rsidRDefault="00F13E60" w:rsidP="00F13E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Региональный центр компетенций представил механизм включения лесоперерабатывающей компании в нацпроект «Производительность труда»: выручка предприятия должна составлять не менее 400 </w:t>
      </w:r>
      <w:proofErr w:type="spellStart"/>
      <w:proofErr w:type="gramStart"/>
      <w:r w:rsidRPr="00F13E60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 рублей в год, а участие иностранных средств в уставном капитале не должно превышать 50%. Сроки проекта по улучшению производительности труда от выявления проблем до достижения результатов составляют не более полугода. Также предприятиям-участникам проекта будет доступен льготный займ суммой до 500 </w:t>
      </w:r>
      <w:proofErr w:type="spellStart"/>
      <w:proofErr w:type="gramStart"/>
      <w:r w:rsidRPr="00F13E60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 рублей на срок до пяти лет под 1% годовых.</w:t>
      </w:r>
    </w:p>
    <w:p w:rsidR="00F13E60" w:rsidRPr="00F13E60" w:rsidRDefault="00F13E60" w:rsidP="00F13E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Центр поддержки экспорта (ЦПЭ, подразделение центра «Мой бизнес») предлагает предпринимателям лесопромышленного комплекса услуги по сертификации </w:t>
      </w:r>
      <w:r w:rsidRPr="00F13E60">
        <w:rPr>
          <w:rFonts w:eastAsia="Times New Roman"/>
          <w:color w:val="212529"/>
          <w:sz w:val="24"/>
          <w:szCs w:val="24"/>
          <w:lang w:eastAsia="ru-RU"/>
        </w:rPr>
        <w:lastRenderedPageBreak/>
        <w:t xml:space="preserve">продукции. Услуга </w:t>
      </w:r>
      <w:proofErr w:type="gramStart"/>
      <w:r w:rsidRPr="00F13E60">
        <w:rPr>
          <w:rFonts w:eastAsia="Times New Roman"/>
          <w:color w:val="212529"/>
          <w:sz w:val="24"/>
          <w:szCs w:val="24"/>
          <w:lang w:eastAsia="ru-RU"/>
        </w:rPr>
        <w:t>предоставляется на условиях софинансирования и покрывает</w:t>
      </w:r>
      <w:proofErr w:type="gramEnd"/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 до 80% стоимости сертификации. Кроме того, лесопромышленники могут воспользоваться услугой участия в зарубежных </w:t>
      </w:r>
      <w:proofErr w:type="gramStart"/>
      <w:r w:rsidRPr="00F13E60">
        <w:rPr>
          <w:rFonts w:eastAsia="Times New Roman"/>
          <w:color w:val="212529"/>
          <w:sz w:val="24"/>
          <w:szCs w:val="24"/>
          <w:lang w:eastAsia="ru-RU"/>
        </w:rPr>
        <w:t>выставках</w:t>
      </w:r>
      <w:proofErr w:type="gramEnd"/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 – предпринимателям доступно участие как в формате коллективного, так и индивидуального стенда.</w:t>
      </w:r>
    </w:p>
    <w:p w:rsidR="00F13E60" w:rsidRPr="00F13E60" w:rsidRDefault="00F13E60" w:rsidP="00F13E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13E60">
        <w:rPr>
          <w:rFonts w:eastAsia="Times New Roman"/>
          <w:color w:val="212529"/>
          <w:sz w:val="24"/>
          <w:szCs w:val="24"/>
          <w:lang w:eastAsia="ru-RU"/>
        </w:rPr>
        <w:t>Подробнее об услугах Центра поддержки экспорта можно узнать по телефону: 8 (423) 279-59-09, на сайте центра </w:t>
      </w:r>
      <w:hyperlink r:id="rId6" w:history="1">
        <w:r w:rsidRPr="00F13E60">
          <w:rPr>
            <w:rFonts w:eastAsia="Times New Roman"/>
            <w:color w:val="007BFF"/>
            <w:sz w:val="24"/>
            <w:szCs w:val="24"/>
            <w:lang w:eastAsia="ru-RU"/>
          </w:rPr>
          <w:t>«Мой бизнес»</w:t>
        </w:r>
      </w:hyperlink>
      <w:r w:rsidRPr="00F13E60">
        <w:rPr>
          <w:rFonts w:eastAsia="Times New Roman"/>
          <w:color w:val="212529"/>
          <w:sz w:val="24"/>
          <w:szCs w:val="24"/>
          <w:lang w:eastAsia="ru-RU"/>
        </w:rPr>
        <w:t> и в социальных сетях: </w:t>
      </w:r>
      <w:proofErr w:type="spellStart"/>
      <w:r w:rsidRPr="00F13E60">
        <w:rPr>
          <w:rFonts w:eastAsia="Times New Roman"/>
          <w:color w:val="212529"/>
          <w:sz w:val="24"/>
          <w:szCs w:val="24"/>
          <w:lang w:eastAsia="ru-RU"/>
        </w:rPr>
        <w:fldChar w:fldCharType="begin"/>
      </w:r>
      <w:r w:rsidRPr="00F13E60">
        <w:rPr>
          <w:rFonts w:eastAsia="Times New Roman"/>
          <w:color w:val="212529"/>
          <w:sz w:val="24"/>
          <w:szCs w:val="24"/>
          <w:lang w:eastAsia="ru-RU"/>
        </w:rPr>
        <w:instrText xml:space="preserve"> HYPERLINK "https://www.facebook.com/Cpp25rus/" </w:instrText>
      </w:r>
      <w:r w:rsidRPr="00F13E60">
        <w:rPr>
          <w:rFonts w:eastAsia="Times New Roman"/>
          <w:color w:val="212529"/>
          <w:sz w:val="24"/>
          <w:szCs w:val="24"/>
          <w:lang w:eastAsia="ru-RU"/>
        </w:rPr>
        <w:fldChar w:fldCharType="separate"/>
      </w:r>
      <w:r w:rsidRPr="00F13E60">
        <w:rPr>
          <w:rFonts w:eastAsia="Times New Roman"/>
          <w:color w:val="007BFF"/>
          <w:sz w:val="24"/>
          <w:szCs w:val="24"/>
          <w:lang w:eastAsia="ru-RU"/>
        </w:rPr>
        <w:t>Facebook</w:t>
      </w:r>
      <w:proofErr w:type="spellEnd"/>
      <w:r w:rsidRPr="00F13E60">
        <w:rPr>
          <w:rFonts w:eastAsia="Times New Roman"/>
          <w:color w:val="212529"/>
          <w:sz w:val="24"/>
          <w:szCs w:val="24"/>
          <w:lang w:eastAsia="ru-RU"/>
        </w:rPr>
        <w:fldChar w:fldCharType="end"/>
      </w:r>
      <w:r w:rsidRPr="00F13E60">
        <w:rPr>
          <w:rFonts w:eastAsia="Times New Roman"/>
          <w:color w:val="212529"/>
          <w:sz w:val="24"/>
          <w:szCs w:val="24"/>
          <w:lang w:eastAsia="ru-RU"/>
        </w:rPr>
        <w:t>, </w:t>
      </w:r>
      <w:hyperlink r:id="rId7" w:history="1">
        <w:r w:rsidRPr="00F13E60">
          <w:rPr>
            <w:rFonts w:eastAsia="Times New Roman"/>
            <w:color w:val="007BFF"/>
            <w:sz w:val="24"/>
            <w:szCs w:val="24"/>
            <w:lang w:eastAsia="ru-RU"/>
          </w:rPr>
          <w:t>Instagram</w:t>
        </w:r>
      </w:hyperlink>
      <w:r w:rsidRPr="00F13E60">
        <w:rPr>
          <w:rFonts w:eastAsia="Times New Roman"/>
          <w:color w:val="212529"/>
          <w:sz w:val="24"/>
          <w:szCs w:val="24"/>
          <w:lang w:eastAsia="ru-RU"/>
        </w:rPr>
        <w:t>, Telegram-канале </w:t>
      </w:r>
      <w:hyperlink r:id="rId8" w:history="1">
        <w:r w:rsidRPr="00F13E60">
          <w:rPr>
            <w:rFonts w:eastAsia="Times New Roman"/>
            <w:color w:val="007BFF"/>
            <w:sz w:val="24"/>
            <w:szCs w:val="24"/>
            <w:lang w:eastAsia="ru-RU"/>
          </w:rPr>
          <w:t>«Приморье для бизнеса»</w:t>
        </w:r>
      </w:hyperlink>
      <w:r w:rsidRPr="00F13E60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F13E60" w:rsidRPr="00F13E60" w:rsidRDefault="00F13E60" w:rsidP="00F13E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Отметим, что государственную поддержку субъектам малого и среднего бизнеса, экспортирующим свои товары и услуги, центр «Мой бизнес» предоставляет в </w:t>
      </w:r>
      <w:proofErr w:type="gramStart"/>
      <w:r w:rsidRPr="00F13E60">
        <w:rPr>
          <w:rFonts w:eastAsia="Times New Roman"/>
          <w:color w:val="212529"/>
          <w:sz w:val="24"/>
          <w:szCs w:val="24"/>
          <w:lang w:eastAsia="ru-RU"/>
        </w:rPr>
        <w:t>рамках</w:t>
      </w:r>
      <w:proofErr w:type="gramEnd"/>
      <w:r w:rsidRPr="00F13E60">
        <w:rPr>
          <w:rFonts w:eastAsia="Times New Roman"/>
          <w:color w:val="212529"/>
          <w:sz w:val="24"/>
          <w:szCs w:val="24"/>
          <w:lang w:eastAsia="ru-RU"/>
        </w:rPr>
        <w:t> </w:t>
      </w:r>
      <w:hyperlink r:id="rId9" w:history="1">
        <w:r w:rsidRPr="00F13E60">
          <w:rPr>
            <w:rFonts w:eastAsia="Times New Roman"/>
            <w:color w:val="007BFF"/>
            <w:sz w:val="24"/>
            <w:szCs w:val="24"/>
            <w:lang w:eastAsia="ru-RU"/>
          </w:rPr>
          <w:t>национального проекта «Международная кооперация и экспорт»</w:t>
        </w:r>
      </w:hyperlink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. К 2024 году Приморью предстоит вдвое увеличить объем </w:t>
      </w:r>
      <w:proofErr w:type="spellStart"/>
      <w:r w:rsidRPr="00F13E60">
        <w:rPr>
          <w:rFonts w:eastAsia="Times New Roman"/>
          <w:color w:val="212529"/>
          <w:sz w:val="24"/>
          <w:szCs w:val="24"/>
          <w:lang w:eastAsia="ru-RU"/>
        </w:rPr>
        <w:t>несырьевого</w:t>
      </w:r>
      <w:proofErr w:type="spellEnd"/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 экспорта – с 2 миллиардов до 3,9 миллиарда долларов США.</w:t>
      </w:r>
    </w:p>
    <w:p w:rsidR="00F13E60" w:rsidRPr="00F13E60" w:rsidRDefault="00F13E60" w:rsidP="00F13E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F13E60">
        <w:rPr>
          <w:rFonts w:eastAsia="Times New Roman"/>
          <w:color w:val="212529"/>
          <w:sz w:val="24"/>
          <w:szCs w:val="24"/>
          <w:lang w:eastAsia="ru-RU"/>
        </w:rPr>
        <w:t>информацию </w:t>
      </w:r>
      <w:hyperlink r:id="rId10" w:history="1">
        <w:r w:rsidRPr="00F13E60">
          <w:rPr>
            <w:rFonts w:eastAsia="Times New Roman"/>
            <w:color w:val="007BFF"/>
            <w:sz w:val="24"/>
            <w:szCs w:val="24"/>
            <w:lang w:eastAsia="ru-RU"/>
          </w:rPr>
          <w:t>про</w:t>
        </w:r>
        <w:proofErr w:type="gramEnd"/>
        <w:r w:rsidRPr="00F13E60">
          <w:rPr>
            <w:rFonts w:eastAsia="Times New Roman"/>
            <w:color w:val="007BFF"/>
            <w:sz w:val="24"/>
            <w:szCs w:val="24"/>
            <w:lang w:eastAsia="ru-RU"/>
          </w:rPr>
          <w:t xml:space="preserve"> финансовые продукты Микрокредитной компании «Фонд развития предпринимательства и промышленности Приморского края»</w:t>
        </w:r>
      </w:hyperlink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 можно уточнить по телефонам: 8 (423) 280-98-70, 8(967)9589870. Получить консультацию предприниматели могут лично в офисе компании по адресу во Владивостоке на улице </w:t>
      </w:r>
      <w:proofErr w:type="gramStart"/>
      <w:r w:rsidRPr="00F13E60">
        <w:rPr>
          <w:rFonts w:eastAsia="Times New Roman"/>
          <w:color w:val="212529"/>
          <w:sz w:val="24"/>
          <w:szCs w:val="24"/>
          <w:lang w:eastAsia="ru-RU"/>
        </w:rPr>
        <w:t>Тигровая</w:t>
      </w:r>
      <w:proofErr w:type="gramEnd"/>
      <w:r w:rsidRPr="00F13E60">
        <w:rPr>
          <w:rFonts w:eastAsia="Times New Roman"/>
          <w:color w:val="212529"/>
          <w:sz w:val="24"/>
          <w:szCs w:val="24"/>
          <w:lang w:eastAsia="ru-RU"/>
        </w:rPr>
        <w:t xml:space="preserve">, 7 (кабинет 318), либо направив письмо с вопросами по электронной почте: </w:t>
      </w:r>
      <w:hyperlink r:id="rId11" w:history="1">
        <w:r w:rsidRPr="00F13E60">
          <w:rPr>
            <w:rFonts w:eastAsia="Times New Roman"/>
            <w:color w:val="007BFF"/>
            <w:sz w:val="24"/>
            <w:szCs w:val="24"/>
            <w:lang w:eastAsia="ru-RU"/>
          </w:rPr>
          <w:t>info@mfoprim.ru</w:t>
        </w:r>
      </w:hyperlink>
      <w:r w:rsidRPr="00F13E60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F13E60" w:rsidRPr="00F13E60" w:rsidRDefault="00F13E60" w:rsidP="00F13E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13E60">
        <w:rPr>
          <w:rFonts w:eastAsia="Times New Roman"/>
          <w:color w:val="212529"/>
          <w:sz w:val="24"/>
          <w:szCs w:val="24"/>
          <w:lang w:eastAsia="ru-RU"/>
        </w:rPr>
        <w:t>Напомним, </w:t>
      </w:r>
      <w:hyperlink r:id="rId12" w:history="1">
        <w:r w:rsidRPr="00F13E60">
          <w:rPr>
            <w:rFonts w:eastAsia="Times New Roman"/>
            <w:color w:val="007BFF"/>
            <w:sz w:val="24"/>
            <w:szCs w:val="24"/>
            <w:lang w:eastAsia="ru-RU"/>
          </w:rPr>
          <w:t>национальный проект «Производительность труда»</w:t>
        </w:r>
      </w:hyperlink>
      <w:r w:rsidRPr="00F13E60">
        <w:rPr>
          <w:rFonts w:eastAsia="Times New Roman"/>
          <w:color w:val="212529"/>
          <w:sz w:val="24"/>
          <w:szCs w:val="24"/>
          <w:lang w:eastAsia="ru-RU"/>
        </w:rPr>
        <w:t> утвержден «майским» Указом Президента России Владимира Путина в 2018 году. Проект призван создать условия для ежегодного прироста производительности труда в стране на 5% к 2024 году.</w:t>
      </w:r>
    </w:p>
    <w:p w:rsidR="008C16BE" w:rsidRDefault="008C16BE"/>
    <w:sectPr w:rsidR="008C16BE" w:rsidSect="00F13E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42F9"/>
    <w:multiLevelType w:val="multilevel"/>
    <w:tmpl w:val="3BF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3E60"/>
    <w:rsid w:val="001E3C67"/>
    <w:rsid w:val="00291E46"/>
    <w:rsid w:val="008C16BE"/>
    <w:rsid w:val="00AA6659"/>
    <w:rsid w:val="00F1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F13E60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E60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3E60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13E60"/>
    <w:rPr>
      <w:b/>
      <w:bCs/>
    </w:rPr>
  </w:style>
  <w:style w:type="paragraph" w:styleId="a5">
    <w:name w:val="Normal (Web)"/>
    <w:basedOn w:val="a"/>
    <w:uiPriority w:val="99"/>
    <w:semiHidden/>
    <w:unhideWhenUsed/>
    <w:rsid w:val="00F13E60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F13E60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1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116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0530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6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8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vestprimorsk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cpp25rus/" TargetMode="External"/><Relationship Id="rId12" Type="http://schemas.openxmlformats.org/officeDocument/2006/relationships/hyperlink" Target="https://primorsky.ru/regionalnye-proekty/proizvoditelnost-truda-i-podderzhka-zanyat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11" Type="http://schemas.openxmlformats.org/officeDocument/2006/relationships/hyperlink" Target="mailto:info@mfoprim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fopri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orsky.ru/regionalnye-proekty/mezhdunarodnaya-kooperatsiya-i-eks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2021-09-08T00:03:00Z</dcterms:created>
  <dcterms:modified xsi:type="dcterms:W3CDTF">2021-09-08T00:04:00Z</dcterms:modified>
</cp:coreProperties>
</file>