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9E7AFB">
      <w:pPr>
        <w:pStyle w:val="a6"/>
        <w:jc w:val="right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AFB">
        <w:rPr>
          <w:b/>
          <w:bCs/>
          <w:sz w:val="40"/>
          <w:szCs w:val="40"/>
        </w:rPr>
        <w:t xml:space="preserve">                        ПРОЕКТ</w:t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>__.__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>.2021                                                                                                        № ___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2F2A4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земельном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F00E3C" w:rsidRPr="00B370CE">
        <w:rPr>
          <w:color w:val="000000"/>
          <w:sz w:val="28"/>
          <w:szCs w:val="28"/>
        </w:rPr>
        <w:t xml:space="preserve"> </w:t>
      </w:r>
      <w:r w:rsidR="002F2A44"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 земельном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муниципального района от 26.07.2019 № 142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«О </w:t>
      </w:r>
      <w:r w:rsidR="00F144BC">
        <w:rPr>
          <w:rFonts w:ascii="Times New Roman" w:hAnsi="Times New Roman" w:cs="Times New Roman"/>
          <w:sz w:val="28"/>
          <w:szCs w:val="28"/>
        </w:rPr>
        <w:t>порядке</w:t>
      </w:r>
      <w:r w:rsidRPr="00B370CE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F144B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370CE">
        <w:rPr>
          <w:rFonts w:ascii="Times New Roman" w:hAnsi="Times New Roman" w:cs="Times New Roman"/>
          <w:sz w:val="28"/>
          <w:szCs w:val="28"/>
        </w:rPr>
        <w:t>контроля на территории Партизанского муниципального района».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 xml:space="preserve">4. Настоящее решение вступает в силу со дня </w:t>
      </w:r>
      <w:r w:rsidR="00812F16">
        <w:rPr>
          <w:sz w:val="28"/>
          <w:szCs w:val="28"/>
        </w:rPr>
        <w:t xml:space="preserve">его </w:t>
      </w:r>
      <w:r w:rsidRPr="00B370CE">
        <w:rPr>
          <w:sz w:val="28"/>
          <w:szCs w:val="28"/>
        </w:rPr>
        <w:t>принятия.</w:t>
      </w:r>
    </w:p>
    <w:p w:rsidR="00126FE7" w:rsidRDefault="00126FE7" w:rsidP="00B370CE">
      <w:pPr>
        <w:spacing w:line="276" w:lineRule="auto"/>
        <w:rPr>
          <w:sz w:val="28"/>
          <w:szCs w:val="28"/>
        </w:rPr>
      </w:pPr>
    </w:p>
    <w:p w:rsidR="00B370CE" w:rsidRDefault="00B370CE" w:rsidP="00B370CE">
      <w:pPr>
        <w:spacing w:line="276" w:lineRule="auto"/>
        <w:rPr>
          <w:sz w:val="28"/>
          <w:szCs w:val="28"/>
        </w:rPr>
      </w:pP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9E7AFB" w:rsidRDefault="009E7AFB" w:rsidP="009E7A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 xml:space="preserve">о муниципальном </w:t>
      </w:r>
      <w:r w:rsidR="00F144BC">
        <w:rPr>
          <w:b/>
          <w:sz w:val="28"/>
          <w:szCs w:val="28"/>
        </w:rPr>
        <w:t xml:space="preserve">земельном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__.__</w:t>
            </w:r>
            <w:r w:rsidRPr="00E936B8">
              <w:rPr>
                <w:sz w:val="28"/>
                <w:szCs w:val="28"/>
              </w:rPr>
              <w:t>.2021 № _</w:t>
            </w:r>
            <w:r>
              <w:rPr>
                <w:sz w:val="28"/>
                <w:szCs w:val="28"/>
              </w:rPr>
              <w:t>__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1" w:name="_Hlk79156810"/>
      <w:bookmarkStart w:id="2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2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F83" w:rsidRPr="00EE4D2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00F83" w:rsidRPr="00EE4D23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00F83" w:rsidRPr="00EE4D23" w:rsidRDefault="00100F83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0F83">
        <w:rPr>
          <w:sz w:val="28"/>
          <w:szCs w:val="28"/>
        </w:rPr>
        <w:t>земельный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0F83">
        <w:rPr>
          <w:sz w:val="28"/>
          <w:szCs w:val="28"/>
        </w:rPr>
        <w:t>земельному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9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Земельного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муниципальный земельный </w:t>
      </w:r>
      <w:proofErr w:type="gramStart"/>
      <w:r w:rsidRPr="00EE4D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3" w:name="Par61"/>
      <w:bookmarkEnd w:id="3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D016E2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>мый постановлением 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от 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E723EE" w:rsidRPr="00567818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0F83">
        <w:rPr>
          <w:sz w:val="28"/>
          <w:szCs w:val="28"/>
        </w:rPr>
        <w:t>земельного</w:t>
      </w:r>
      <w:r w:rsidRPr="00567818">
        <w:rPr>
          <w:color w:val="000000"/>
          <w:sz w:val="28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00E3C" w:rsidRPr="00EB4DB8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EB4DB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B4DB8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EB4DB8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EB4DB8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</w:t>
      </w:r>
      <w:r w:rsidR="00C376E0" w:rsidRPr="00EB4DB8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EB4DB8">
        <w:rPr>
          <w:rFonts w:ascii="Times New Roman" w:hAnsi="Times New Roman" w:cs="Times New Roman"/>
          <w:sz w:val="28"/>
          <w:szCs w:val="28"/>
        </w:rPr>
        <w:t>)</w:t>
      </w:r>
      <w:r w:rsidR="00F00E3C" w:rsidRPr="00EB4DB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EB4DB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="00CA2881">
        <w:rPr>
          <w:rFonts w:ascii="Times New Roman" w:hAnsi="Times New Roman" w:cs="Times New Roman"/>
          <w:sz w:val="28"/>
          <w:szCs w:val="28"/>
        </w:rPr>
        <w:t>,</w:t>
      </w:r>
      <w:r w:rsidRPr="00567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9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</w:r>
      <w:r w:rsidRPr="00567818">
        <w:rPr>
          <w:color w:val="000000"/>
          <w:sz w:val="28"/>
          <w:szCs w:val="28"/>
          <w:shd w:val="clear" w:color="auto" w:fill="FFFFFF"/>
        </w:rPr>
        <w:lastRenderedPageBreak/>
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0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Во всех случаях проведения контрольных мероприятий для фиксации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ы контрольного мероприятия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EB4DB8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ar318"/>
      <w:bookmarkEnd w:id="4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</w:t>
      </w:r>
      <w:r w:rsidRPr="00567818">
        <w:rPr>
          <w:rFonts w:ascii="Times New Roman" w:hAnsi="Times New Roman" w:cs="Times New Roman"/>
          <w:sz w:val="28"/>
          <w:szCs w:val="28"/>
        </w:rPr>
        <w:lastRenderedPageBreak/>
        <w:t>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EB4DB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EB4DB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90F8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>муниципальный правовой акт 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090F80" w:rsidRPr="00090F80">
        <w:rPr>
          <w:rFonts w:ascii="Times New Roman" w:hAnsi="Times New Roman" w:cs="Times New Roman"/>
          <w:sz w:val="28"/>
          <w:szCs w:val="28"/>
        </w:rPr>
        <w:t>июля 2019 года № 142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090F80" w:rsidRPr="00090F80">
        <w:rPr>
          <w:rFonts w:ascii="Times New Roman" w:hAnsi="Times New Roman" w:cs="Times New Roman"/>
          <w:sz w:val="28"/>
          <w:szCs w:val="28"/>
        </w:rPr>
        <w:t>Порядок осуществлении муниципального земельного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</w:t>
      </w:r>
      <w:r w:rsidR="00090F80" w:rsidRPr="00090F80">
        <w:rPr>
          <w:rFonts w:ascii="Times New Roman" w:hAnsi="Times New Roman" w:cs="Times New Roman"/>
          <w:sz w:val="28"/>
          <w:szCs w:val="28"/>
        </w:rPr>
        <w:t>айона от 26.07.2019 № 142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6D5D73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_________</w:t>
      </w:r>
      <w:r w:rsidRPr="00E936B8">
        <w:rPr>
          <w:sz w:val="28"/>
          <w:szCs w:val="28"/>
        </w:rPr>
        <w:t xml:space="preserve"> 2021 года</w:t>
      </w:r>
    </w:p>
    <w:p w:rsidR="00974A31" w:rsidRDefault="006D5D73" w:rsidP="00EB4DB8">
      <w:pPr>
        <w:outlineLvl w:val="0"/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8209B"/>
    <w:rsid w:val="00087DE6"/>
    <w:rsid w:val="00090F80"/>
    <w:rsid w:val="00100F83"/>
    <w:rsid w:val="00126FE7"/>
    <w:rsid w:val="00222A32"/>
    <w:rsid w:val="0025526E"/>
    <w:rsid w:val="002F2A44"/>
    <w:rsid w:val="00300332"/>
    <w:rsid w:val="00336843"/>
    <w:rsid w:val="0048227D"/>
    <w:rsid w:val="0058231A"/>
    <w:rsid w:val="005C7F73"/>
    <w:rsid w:val="00654AB9"/>
    <w:rsid w:val="006D5D73"/>
    <w:rsid w:val="00744F19"/>
    <w:rsid w:val="007632CE"/>
    <w:rsid w:val="0081054A"/>
    <w:rsid w:val="00812F16"/>
    <w:rsid w:val="008A0E2E"/>
    <w:rsid w:val="008E3C4F"/>
    <w:rsid w:val="00903923"/>
    <w:rsid w:val="00974A31"/>
    <w:rsid w:val="00991D7E"/>
    <w:rsid w:val="009C5DCD"/>
    <w:rsid w:val="009E7AFB"/>
    <w:rsid w:val="00A12F27"/>
    <w:rsid w:val="00A74BD2"/>
    <w:rsid w:val="00B370CE"/>
    <w:rsid w:val="00BD1A74"/>
    <w:rsid w:val="00C13578"/>
    <w:rsid w:val="00C372A6"/>
    <w:rsid w:val="00C376E0"/>
    <w:rsid w:val="00C71314"/>
    <w:rsid w:val="00C91E49"/>
    <w:rsid w:val="00CA2881"/>
    <w:rsid w:val="00D016E2"/>
    <w:rsid w:val="00D7425E"/>
    <w:rsid w:val="00E723EE"/>
    <w:rsid w:val="00EA3720"/>
    <w:rsid w:val="00EB0588"/>
    <w:rsid w:val="00EB4DB8"/>
    <w:rsid w:val="00F00E3C"/>
    <w:rsid w:val="00F144BC"/>
    <w:rsid w:val="00F23CEE"/>
    <w:rsid w:val="00F32671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8</cp:revision>
  <dcterms:created xsi:type="dcterms:W3CDTF">2021-10-05T05:08:00Z</dcterms:created>
  <dcterms:modified xsi:type="dcterms:W3CDTF">2021-10-26T04:24:00Z</dcterms:modified>
</cp:coreProperties>
</file>