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1" w:rsidRDefault="00C329D8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D5273">
        <w:rPr>
          <w:rFonts w:ascii="Times New Roman" w:hAnsi="Times New Roman"/>
          <w:b/>
          <w:i/>
          <w:sz w:val="32"/>
          <w:szCs w:val="32"/>
        </w:rPr>
        <w:t>Итоги исполнения бюджета Партизан</w:t>
      </w:r>
      <w:r w:rsidR="00F66826">
        <w:rPr>
          <w:rFonts w:ascii="Times New Roman" w:hAnsi="Times New Roman"/>
          <w:b/>
          <w:i/>
          <w:sz w:val="32"/>
          <w:szCs w:val="32"/>
        </w:rPr>
        <w:t xml:space="preserve">ского муниципального района за </w:t>
      </w:r>
      <w:r w:rsidR="009418CF">
        <w:rPr>
          <w:rFonts w:ascii="Times New Roman" w:hAnsi="Times New Roman"/>
          <w:b/>
          <w:i/>
          <w:sz w:val="32"/>
          <w:szCs w:val="32"/>
        </w:rPr>
        <w:t>9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66826">
        <w:rPr>
          <w:rFonts w:ascii="Times New Roman" w:hAnsi="Times New Roman"/>
          <w:b/>
          <w:i/>
          <w:sz w:val="32"/>
          <w:szCs w:val="32"/>
        </w:rPr>
        <w:t>месяц</w:t>
      </w:r>
      <w:r w:rsidR="00BF6154">
        <w:rPr>
          <w:rFonts w:ascii="Times New Roman" w:hAnsi="Times New Roman"/>
          <w:b/>
          <w:i/>
          <w:sz w:val="32"/>
          <w:szCs w:val="32"/>
        </w:rPr>
        <w:t>ев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E56024">
        <w:rPr>
          <w:rFonts w:ascii="Times New Roman" w:hAnsi="Times New Roman"/>
          <w:b/>
          <w:i/>
          <w:sz w:val="32"/>
          <w:szCs w:val="32"/>
        </w:rPr>
        <w:t>6</w:t>
      </w:r>
      <w:r w:rsidRPr="00ED5273">
        <w:rPr>
          <w:rFonts w:ascii="Times New Roman" w:hAnsi="Times New Roman"/>
          <w:b/>
          <w:i/>
          <w:sz w:val="32"/>
          <w:szCs w:val="32"/>
        </w:rPr>
        <w:t xml:space="preserve"> года</w:t>
      </w:r>
    </w:p>
    <w:p w:rsidR="004C4FD0" w:rsidRPr="00ED5273" w:rsidRDefault="004C4FD0" w:rsidP="00C329D8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A465BD" w:rsidRDefault="00A465BD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юджет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Партизанского муниципального района</w:t>
      </w:r>
      <w:r w:rsidR="00F6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r w:rsidR="00116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6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месяц</w:t>
      </w:r>
      <w:r w:rsidR="00BF61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</w:t>
      </w:r>
      <w:r w:rsidR="00A54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E560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исполнен: </w:t>
      </w:r>
    </w:p>
    <w:p w:rsidR="00A465BD" w:rsidRDefault="00A465BD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доходам </w:t>
      </w:r>
      <w:r w:rsidR="00854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2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446 022,8</w:t>
      </w: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4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рублей, </w:t>
      </w:r>
    </w:p>
    <w:p w:rsidR="00A465BD" w:rsidRDefault="00A465BD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расходам </w:t>
      </w:r>
      <w:r w:rsidR="00854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2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497 677,3</w:t>
      </w:r>
      <w:r w:rsidR="0085470D"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</w:t>
      </w:r>
      <w:r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рублей,</w:t>
      </w: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465BD" w:rsidRDefault="00A465BD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 исполнения бюджета</w:t>
      </w: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4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F08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25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</w:t>
      </w:r>
      <w:r w:rsidR="00854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фицит в размере </w:t>
      </w:r>
      <w:r w:rsidR="00CD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A2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51 654,5</w:t>
      </w:r>
      <w:r w:rsidR="00A5453D"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470D"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</w:t>
      </w:r>
      <w:r w:rsidR="0085470D"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66826" w:rsidRPr="00CE27C2" w:rsidRDefault="00F66826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ср</w:t>
      </w:r>
      <w:r w:rsidR="00A5453D"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авнению с </w:t>
      </w:r>
      <w:r w:rsidR="00032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отчетом за </w:t>
      </w:r>
      <w:r w:rsidR="00DA2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1A1F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2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месяц</w:t>
      </w:r>
      <w:r w:rsidR="001A1F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</w:t>
      </w:r>
      <w:r w:rsidR="00032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22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032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</w:t>
      </w:r>
      <w:r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фицит бюджета района </w:t>
      </w:r>
      <w:r w:rsidR="00CD4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</w:t>
      </w:r>
      <w:r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лся </w:t>
      </w:r>
      <w:proofErr w:type="gramStart"/>
      <w:r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F66826" w:rsidRDefault="00DA285E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60 045,6</w:t>
      </w:r>
      <w:r w:rsidR="00F66826" w:rsidRPr="00CE27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A04D0B" w:rsidRDefault="00232E21" w:rsidP="00A465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0" cy="32670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3C7E" w:rsidRDefault="00ED527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D5273">
        <w:rPr>
          <w:rFonts w:ascii="Times New Roman" w:hAnsi="Times New Roman"/>
          <w:b/>
          <w:i/>
          <w:sz w:val="28"/>
          <w:szCs w:val="28"/>
        </w:rPr>
        <w:t>Структура доходов бюджета Партизан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ского муниципального района </w:t>
      </w:r>
      <w:r w:rsidR="00BB261A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BA424A">
        <w:rPr>
          <w:rFonts w:ascii="Times New Roman" w:hAnsi="Times New Roman"/>
          <w:b/>
          <w:i/>
          <w:sz w:val="28"/>
          <w:szCs w:val="28"/>
        </w:rPr>
        <w:t>9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FE6FD3">
        <w:rPr>
          <w:rFonts w:ascii="Times New Roman" w:hAnsi="Times New Roman"/>
          <w:b/>
          <w:i/>
          <w:sz w:val="28"/>
          <w:szCs w:val="28"/>
        </w:rPr>
        <w:t>ев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777284">
        <w:rPr>
          <w:rFonts w:ascii="Times New Roman" w:hAnsi="Times New Roman"/>
          <w:b/>
          <w:i/>
          <w:sz w:val="28"/>
          <w:szCs w:val="28"/>
        </w:rPr>
        <w:t>6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405892" w:rsidRDefault="00405892" w:rsidP="002445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2548" w:rsidRPr="002445EC" w:rsidRDefault="00CD2548" w:rsidP="001F67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5EC">
        <w:rPr>
          <w:rFonts w:ascii="Times New Roman" w:hAnsi="Times New Roman"/>
          <w:sz w:val="24"/>
          <w:szCs w:val="24"/>
        </w:rPr>
        <w:t>Налоговые и неналоговые доходы бюджета Партизан</w:t>
      </w:r>
      <w:r w:rsidR="003F6C46">
        <w:rPr>
          <w:rFonts w:ascii="Times New Roman" w:hAnsi="Times New Roman"/>
          <w:sz w:val="24"/>
          <w:szCs w:val="24"/>
        </w:rPr>
        <w:t xml:space="preserve">ского муниципального района за </w:t>
      </w:r>
      <w:r w:rsidR="00E50E26">
        <w:rPr>
          <w:rFonts w:ascii="Times New Roman" w:hAnsi="Times New Roman"/>
          <w:sz w:val="24"/>
          <w:szCs w:val="24"/>
        </w:rPr>
        <w:t>9</w:t>
      </w:r>
      <w:r w:rsidR="003F6C46">
        <w:rPr>
          <w:rFonts w:ascii="Times New Roman" w:hAnsi="Times New Roman"/>
          <w:sz w:val="24"/>
          <w:szCs w:val="24"/>
        </w:rPr>
        <w:t xml:space="preserve"> месяц</w:t>
      </w:r>
      <w:r w:rsidR="00B60412">
        <w:rPr>
          <w:rFonts w:ascii="Times New Roman" w:hAnsi="Times New Roman"/>
          <w:sz w:val="24"/>
          <w:szCs w:val="24"/>
        </w:rPr>
        <w:t>ев</w:t>
      </w:r>
      <w:r w:rsidRPr="002445EC">
        <w:rPr>
          <w:rFonts w:ascii="Times New Roman" w:hAnsi="Times New Roman"/>
          <w:sz w:val="24"/>
          <w:szCs w:val="24"/>
        </w:rPr>
        <w:t xml:space="preserve"> 201</w:t>
      </w:r>
      <w:r w:rsidR="004602C8">
        <w:rPr>
          <w:rFonts w:ascii="Times New Roman" w:hAnsi="Times New Roman"/>
          <w:sz w:val="24"/>
          <w:szCs w:val="24"/>
        </w:rPr>
        <w:t>6</w:t>
      </w:r>
      <w:r w:rsidRPr="002445EC">
        <w:rPr>
          <w:rFonts w:ascii="Times New Roman" w:hAnsi="Times New Roman"/>
          <w:sz w:val="24"/>
          <w:szCs w:val="24"/>
        </w:rPr>
        <w:t xml:space="preserve"> года поступили в объеме </w:t>
      </w:r>
      <w:r w:rsidR="001F67DA">
        <w:rPr>
          <w:rFonts w:ascii="Times New Roman" w:hAnsi="Times New Roman"/>
          <w:sz w:val="24"/>
          <w:szCs w:val="24"/>
        </w:rPr>
        <w:t>215 974,9</w:t>
      </w:r>
      <w:r w:rsidRPr="002445EC">
        <w:rPr>
          <w:rFonts w:ascii="Times New Roman" w:hAnsi="Times New Roman"/>
          <w:sz w:val="24"/>
          <w:szCs w:val="24"/>
        </w:rPr>
        <w:t xml:space="preserve"> тыс. рублей или </w:t>
      </w:r>
      <w:r w:rsidR="001F67DA">
        <w:rPr>
          <w:rFonts w:ascii="Times New Roman" w:hAnsi="Times New Roman"/>
          <w:sz w:val="24"/>
          <w:szCs w:val="24"/>
        </w:rPr>
        <w:t>100,2</w:t>
      </w:r>
      <w:r w:rsidR="00952ACD">
        <w:rPr>
          <w:rFonts w:ascii="Times New Roman" w:hAnsi="Times New Roman"/>
          <w:sz w:val="24"/>
          <w:szCs w:val="24"/>
        </w:rPr>
        <w:t xml:space="preserve"> </w:t>
      </w:r>
      <w:r w:rsidR="002445EC" w:rsidRPr="002445EC">
        <w:rPr>
          <w:rFonts w:ascii="Times New Roman" w:hAnsi="Times New Roman"/>
          <w:sz w:val="24"/>
          <w:szCs w:val="24"/>
        </w:rPr>
        <w:t>% к соответств</w:t>
      </w:r>
      <w:r w:rsidR="003F6C46">
        <w:rPr>
          <w:rFonts w:ascii="Times New Roman" w:hAnsi="Times New Roman"/>
          <w:sz w:val="24"/>
          <w:szCs w:val="24"/>
        </w:rPr>
        <w:t>ующему периоду 201</w:t>
      </w:r>
      <w:r w:rsidR="00B60412">
        <w:rPr>
          <w:rFonts w:ascii="Times New Roman" w:hAnsi="Times New Roman"/>
          <w:sz w:val="24"/>
          <w:szCs w:val="24"/>
        </w:rPr>
        <w:t>5</w:t>
      </w:r>
      <w:r w:rsidR="00952ACD">
        <w:rPr>
          <w:rFonts w:ascii="Times New Roman" w:hAnsi="Times New Roman"/>
          <w:sz w:val="24"/>
          <w:szCs w:val="24"/>
        </w:rPr>
        <w:t xml:space="preserve"> года (</w:t>
      </w:r>
      <w:r w:rsidR="00B60412">
        <w:rPr>
          <w:rFonts w:ascii="Times New Roman" w:hAnsi="Times New Roman"/>
          <w:sz w:val="24"/>
          <w:szCs w:val="24"/>
        </w:rPr>
        <w:t>+</w:t>
      </w:r>
      <w:r w:rsidR="001F67DA">
        <w:rPr>
          <w:rFonts w:ascii="Times New Roman" w:hAnsi="Times New Roman"/>
          <w:sz w:val="24"/>
          <w:szCs w:val="24"/>
        </w:rPr>
        <w:t>367,9</w:t>
      </w:r>
      <w:r w:rsidR="002445EC" w:rsidRPr="002445EC">
        <w:rPr>
          <w:rFonts w:ascii="Times New Roman" w:hAnsi="Times New Roman"/>
          <w:sz w:val="24"/>
          <w:szCs w:val="24"/>
        </w:rPr>
        <w:t xml:space="preserve"> тыс. рублей)</w:t>
      </w:r>
      <w:r w:rsidR="002445EC">
        <w:rPr>
          <w:rFonts w:ascii="Times New Roman" w:hAnsi="Times New Roman"/>
          <w:sz w:val="24"/>
          <w:szCs w:val="24"/>
        </w:rPr>
        <w:t>.</w:t>
      </w:r>
    </w:p>
    <w:p w:rsidR="00ED5273" w:rsidRDefault="00232E21" w:rsidP="00341E5F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0750" cy="47815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5273" w:rsidRDefault="00ED5273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налоговых и неналоговых доходов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Партизанского муниципального района за </w:t>
      </w:r>
      <w:r w:rsidR="00232E21">
        <w:rPr>
          <w:rFonts w:ascii="Times New Roman" w:hAnsi="Times New Roman"/>
          <w:b/>
          <w:i/>
          <w:sz w:val="28"/>
          <w:szCs w:val="28"/>
        </w:rPr>
        <w:t>9</w:t>
      </w:r>
      <w:r w:rsidR="003F6C46">
        <w:rPr>
          <w:rFonts w:ascii="Times New Roman" w:hAnsi="Times New Roman"/>
          <w:b/>
          <w:i/>
          <w:sz w:val="28"/>
          <w:szCs w:val="28"/>
        </w:rPr>
        <w:t xml:space="preserve"> месяцев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B60412">
        <w:rPr>
          <w:rFonts w:ascii="Times New Roman" w:hAnsi="Times New Roman"/>
          <w:b/>
          <w:i/>
          <w:sz w:val="28"/>
          <w:szCs w:val="28"/>
        </w:rPr>
        <w:t>6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в сравнении с </w:t>
      </w:r>
      <w:r w:rsidR="004D2A05">
        <w:rPr>
          <w:rFonts w:ascii="Times New Roman" w:hAnsi="Times New Roman"/>
          <w:b/>
          <w:i/>
          <w:sz w:val="28"/>
          <w:szCs w:val="28"/>
        </w:rPr>
        <w:t>9</w:t>
      </w:r>
      <w:r w:rsidR="003F6C46">
        <w:rPr>
          <w:rFonts w:ascii="Times New Roman" w:hAnsi="Times New Roman"/>
          <w:b/>
          <w:i/>
          <w:sz w:val="28"/>
          <w:szCs w:val="28"/>
        </w:rPr>
        <w:t xml:space="preserve"> месяцами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4D2A05">
        <w:rPr>
          <w:rFonts w:ascii="Times New Roman" w:hAnsi="Times New Roman"/>
          <w:b/>
          <w:i/>
          <w:sz w:val="28"/>
          <w:szCs w:val="28"/>
        </w:rPr>
        <w:t>6</w:t>
      </w:r>
      <w:r w:rsidR="002445EC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364287">
        <w:rPr>
          <w:rFonts w:ascii="Times New Roman" w:hAnsi="Times New Roman"/>
          <w:b/>
          <w:i/>
          <w:sz w:val="28"/>
          <w:szCs w:val="28"/>
        </w:rPr>
        <w:t xml:space="preserve"> (тыс. рублей)</w:t>
      </w:r>
    </w:p>
    <w:p w:rsidR="002445EC" w:rsidRDefault="00232E21" w:rsidP="00ED527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00700" cy="28194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4BA3" w:rsidRDefault="00034BA3" w:rsidP="000201E3">
      <w:pPr>
        <w:rPr>
          <w:rFonts w:ascii="Times New Roman" w:hAnsi="Times New Roman"/>
          <w:b/>
          <w:i/>
          <w:sz w:val="28"/>
          <w:szCs w:val="28"/>
        </w:rPr>
      </w:pPr>
    </w:p>
    <w:p w:rsidR="005420A6" w:rsidRDefault="00034BA3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="005420A6">
        <w:rPr>
          <w:rFonts w:ascii="Times New Roman" w:hAnsi="Times New Roman"/>
          <w:b/>
          <w:i/>
          <w:sz w:val="28"/>
          <w:szCs w:val="28"/>
        </w:rPr>
        <w:t>труктура расходов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бюджета Партизан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ского муниципального района за </w:t>
      </w:r>
      <w:r w:rsidR="006B64D0">
        <w:rPr>
          <w:rFonts w:ascii="Times New Roman" w:hAnsi="Times New Roman"/>
          <w:b/>
          <w:i/>
          <w:sz w:val="28"/>
          <w:szCs w:val="28"/>
        </w:rPr>
        <w:t>9</w:t>
      </w:r>
      <w:r w:rsidR="00437A94"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DC3E09">
        <w:rPr>
          <w:rFonts w:ascii="Times New Roman" w:hAnsi="Times New Roman"/>
          <w:b/>
          <w:i/>
          <w:sz w:val="28"/>
          <w:szCs w:val="28"/>
        </w:rPr>
        <w:t>ев</w:t>
      </w:r>
      <w:r w:rsidR="008859C5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4602C8">
        <w:rPr>
          <w:rFonts w:ascii="Times New Roman" w:hAnsi="Times New Roman"/>
          <w:b/>
          <w:i/>
          <w:sz w:val="28"/>
          <w:szCs w:val="28"/>
        </w:rPr>
        <w:t>6</w:t>
      </w:r>
      <w:r w:rsidR="005420A6" w:rsidRPr="00ED5273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5420A6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A5747B">
        <w:rPr>
          <w:rFonts w:ascii="Times New Roman" w:hAnsi="Times New Roman"/>
          <w:b/>
          <w:i/>
          <w:sz w:val="28"/>
          <w:szCs w:val="28"/>
        </w:rPr>
        <w:t>видам расходов</w:t>
      </w:r>
    </w:p>
    <w:p w:rsidR="00007065" w:rsidRDefault="00232E21" w:rsidP="00A44FD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48375" cy="52863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3366" w:rsidRDefault="00FA3366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12D" w:rsidRDefault="00D7412D" w:rsidP="00D7412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об исполнении</w:t>
      </w:r>
      <w:r w:rsidRPr="00ED5273">
        <w:rPr>
          <w:rFonts w:ascii="Times New Roman" w:hAnsi="Times New Roman"/>
          <w:b/>
          <w:i/>
          <w:sz w:val="28"/>
          <w:szCs w:val="28"/>
        </w:rPr>
        <w:t xml:space="preserve"> бюджета Партизанского муниципального</w:t>
      </w:r>
      <w:r w:rsidR="00BD3D2E">
        <w:rPr>
          <w:rFonts w:ascii="Times New Roman" w:hAnsi="Times New Roman"/>
          <w:b/>
          <w:i/>
          <w:sz w:val="28"/>
          <w:szCs w:val="28"/>
        </w:rPr>
        <w:t xml:space="preserve"> района за </w:t>
      </w:r>
      <w:r w:rsidR="00E627DD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D3D2E">
        <w:rPr>
          <w:rFonts w:ascii="Times New Roman" w:hAnsi="Times New Roman"/>
          <w:b/>
          <w:i/>
          <w:sz w:val="28"/>
          <w:szCs w:val="28"/>
        </w:rPr>
        <w:t>месяц</w:t>
      </w:r>
      <w:r w:rsidR="00AB4E8D">
        <w:rPr>
          <w:rFonts w:ascii="Times New Roman" w:hAnsi="Times New Roman"/>
          <w:b/>
          <w:i/>
          <w:sz w:val="28"/>
          <w:szCs w:val="28"/>
        </w:rPr>
        <w:t>ев</w:t>
      </w:r>
      <w:r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882368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tbl>
      <w:tblPr>
        <w:tblW w:w="9781" w:type="dxa"/>
        <w:tblInd w:w="-5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30"/>
        <w:gridCol w:w="2551"/>
      </w:tblGrid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Default="00D7412D" w:rsidP="00691BC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  <w:p w:rsidR="00691BCE" w:rsidRPr="00D7412D" w:rsidRDefault="00691BCE" w:rsidP="00691BC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7412D" w:rsidRPr="00DF08D3" w:rsidTr="00D7412D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ДОХОДЫ БЮДЖЕТА, ТЫС. РУБЛЕЙ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4D2A05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215 974,9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594BE2">
            <w:pPr>
              <w:spacing w:after="0" w:line="240" w:lineRule="auto"/>
              <w:ind w:right="-17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877E81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E1F39" w:rsidRPr="00DF08D3" w:rsidRDefault="00CC0866" w:rsidP="00DE1F39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149 558,8</w:t>
            </w:r>
          </w:p>
        </w:tc>
      </w:tr>
      <w:tr w:rsidR="00576B83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76B83" w:rsidRPr="00DF08D3" w:rsidRDefault="00576B83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576B83" w:rsidRDefault="00CC0866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15 789,5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CC0866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5 504,9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CC0866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1 953,5</w:t>
            </w:r>
          </w:p>
        </w:tc>
      </w:tr>
      <w:tr w:rsidR="00B10311" w:rsidRPr="00DF08D3" w:rsidTr="00B10311">
        <w:trPr>
          <w:trHeight w:val="174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10311" w:rsidRPr="00DF08D3" w:rsidRDefault="00B10311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налоговые доходы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10311" w:rsidRPr="00DF08D3" w:rsidRDefault="00CC0866" w:rsidP="00E06F9D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2 518,4</w:t>
            </w:r>
          </w:p>
        </w:tc>
      </w:tr>
      <w:tr w:rsidR="00E57187" w:rsidRPr="00DF08D3" w:rsidTr="006A14DB"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57187" w:rsidRPr="00DF08D3" w:rsidRDefault="006A14DB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E57187" w:rsidRPr="00DF08D3" w:rsidRDefault="00CC0866" w:rsidP="00E06F9D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24 251,6</w:t>
            </w:r>
          </w:p>
        </w:tc>
      </w:tr>
      <w:tr w:rsidR="006A14DB" w:rsidRPr="00DF08D3" w:rsidTr="006A14DB">
        <w:trPr>
          <w:trHeight w:val="277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6A14DB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6A14DB" w:rsidRDefault="00DE1F39" w:rsidP="00594BE2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0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6 398,2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CC0866" w:rsidP="00691BC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230 047,9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C4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</w:t>
            </w:r>
            <w:r w:rsidR="00C42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</w:t>
            </w: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CC0866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38 858,7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C42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</w:t>
            </w:r>
            <w:r w:rsidR="00C42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венц</w:t>
            </w: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86CCE" w:rsidRPr="00DF08D3" w:rsidRDefault="00CC0866" w:rsidP="00786CC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204 071,5</w:t>
            </w:r>
          </w:p>
        </w:tc>
      </w:tr>
      <w:tr w:rsidR="00D7412D" w:rsidRPr="00DF08D3" w:rsidTr="00CC0866">
        <w:trPr>
          <w:trHeight w:val="325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CC0866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585,6</w:t>
            </w:r>
          </w:p>
        </w:tc>
      </w:tr>
      <w:tr w:rsidR="00CC0866" w:rsidRPr="00DF08D3" w:rsidTr="00CC0866">
        <w:trPr>
          <w:trHeight w:val="231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C0866" w:rsidRPr="00DF08D3" w:rsidRDefault="00CC0866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CC0866" w:rsidRDefault="00CC0866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282947" w:rsidP="00997A4A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97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15 167,9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4D2A05" w:rsidP="00B52C0D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446 022,8</w:t>
            </w:r>
          </w:p>
        </w:tc>
      </w:tr>
      <w:tr w:rsidR="00D7412D" w:rsidRPr="00DF08D3" w:rsidTr="00D7412D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691BCE">
            <w:pPr>
              <w:spacing w:before="100" w:beforeAutospacing="1" w:after="100" w:afterAutospacing="1" w:line="240" w:lineRule="auto"/>
              <w:ind w:right="-17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РАСХОДЫ БЮДЖЕТА, ТЫС. РУБЛЕЙ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0C296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64 935,8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6D0164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1 177,2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0C296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2 025,5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9669F" w:rsidRPr="00DF08D3" w:rsidRDefault="000C296B" w:rsidP="0089669F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5 444,0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0C296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75 397,1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0C296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915,1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0C296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291 110,2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0C296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30 733,8</w:t>
            </w:r>
          </w:p>
        </w:tc>
      </w:tr>
      <w:tr w:rsidR="000C1281" w:rsidRPr="00DF08D3" w:rsidTr="000C1281">
        <w:trPr>
          <w:trHeight w:val="261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1281" w:rsidRPr="00DF08D3" w:rsidRDefault="000C1281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0C1281" w:rsidRDefault="000C1281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0C296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4 483,9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0C296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3 163,6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0C296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1 672,4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0C296B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16 206,0</w:t>
            </w:r>
          </w:p>
        </w:tc>
      </w:tr>
      <w:tr w:rsidR="00D7412D" w:rsidRPr="00DF08D3" w:rsidTr="00D7412D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D7412D" w:rsidP="00F01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8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D7412D" w:rsidRPr="00DF08D3" w:rsidRDefault="003871A3" w:rsidP="003201BE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497 677,3</w:t>
            </w:r>
          </w:p>
        </w:tc>
      </w:tr>
    </w:tbl>
    <w:p w:rsidR="00D7412D" w:rsidRPr="00D7412D" w:rsidRDefault="00D7412D" w:rsidP="00364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12D" w:rsidRPr="00D7412D" w:rsidSect="0036428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D8"/>
    <w:rsid w:val="00007065"/>
    <w:rsid w:val="000201E3"/>
    <w:rsid w:val="0003260E"/>
    <w:rsid w:val="00032946"/>
    <w:rsid w:val="00034BA3"/>
    <w:rsid w:val="000A4EDF"/>
    <w:rsid w:val="000C1281"/>
    <w:rsid w:val="000C296B"/>
    <w:rsid w:val="000C768F"/>
    <w:rsid w:val="00100E03"/>
    <w:rsid w:val="001107E4"/>
    <w:rsid w:val="0011612F"/>
    <w:rsid w:val="00143C7E"/>
    <w:rsid w:val="0019769F"/>
    <w:rsid w:val="00197A07"/>
    <w:rsid w:val="00197DFD"/>
    <w:rsid w:val="001A1F8D"/>
    <w:rsid w:val="001F67DA"/>
    <w:rsid w:val="00225792"/>
    <w:rsid w:val="00232E21"/>
    <w:rsid w:val="002445EC"/>
    <w:rsid w:val="00246B3C"/>
    <w:rsid w:val="00282947"/>
    <w:rsid w:val="00283593"/>
    <w:rsid w:val="0029039B"/>
    <w:rsid w:val="002A1E7A"/>
    <w:rsid w:val="002A3A82"/>
    <w:rsid w:val="002C0FF9"/>
    <w:rsid w:val="00316C33"/>
    <w:rsid w:val="003201BE"/>
    <w:rsid w:val="00324467"/>
    <w:rsid w:val="00341E5F"/>
    <w:rsid w:val="00364287"/>
    <w:rsid w:val="00365958"/>
    <w:rsid w:val="003871A3"/>
    <w:rsid w:val="00392594"/>
    <w:rsid w:val="003E11ED"/>
    <w:rsid w:val="003F6C46"/>
    <w:rsid w:val="00401809"/>
    <w:rsid w:val="00405892"/>
    <w:rsid w:val="00431157"/>
    <w:rsid w:val="00437A94"/>
    <w:rsid w:val="004418FE"/>
    <w:rsid w:val="004602C8"/>
    <w:rsid w:val="00461F79"/>
    <w:rsid w:val="00483A8B"/>
    <w:rsid w:val="00495180"/>
    <w:rsid w:val="004C4D81"/>
    <w:rsid w:val="004C4FD0"/>
    <w:rsid w:val="004D2A05"/>
    <w:rsid w:val="005224A3"/>
    <w:rsid w:val="005420A6"/>
    <w:rsid w:val="00576B83"/>
    <w:rsid w:val="00594BE2"/>
    <w:rsid w:val="005B75C8"/>
    <w:rsid w:val="005C0459"/>
    <w:rsid w:val="005C0B63"/>
    <w:rsid w:val="006530BC"/>
    <w:rsid w:val="006654C7"/>
    <w:rsid w:val="00687948"/>
    <w:rsid w:val="00691BCE"/>
    <w:rsid w:val="006A14DB"/>
    <w:rsid w:val="006A4994"/>
    <w:rsid w:val="006B64D0"/>
    <w:rsid w:val="006C7281"/>
    <w:rsid w:val="006D0164"/>
    <w:rsid w:val="006E28A7"/>
    <w:rsid w:val="006F6E31"/>
    <w:rsid w:val="007036C7"/>
    <w:rsid w:val="0070562D"/>
    <w:rsid w:val="007408A8"/>
    <w:rsid w:val="00777284"/>
    <w:rsid w:val="007810E1"/>
    <w:rsid w:val="00786CCE"/>
    <w:rsid w:val="007A66C2"/>
    <w:rsid w:val="0084626B"/>
    <w:rsid w:val="0085470D"/>
    <w:rsid w:val="008636E7"/>
    <w:rsid w:val="00877E81"/>
    <w:rsid w:val="00882368"/>
    <w:rsid w:val="008859C5"/>
    <w:rsid w:val="0089669F"/>
    <w:rsid w:val="008C241E"/>
    <w:rsid w:val="009418CF"/>
    <w:rsid w:val="00952ACD"/>
    <w:rsid w:val="009836D5"/>
    <w:rsid w:val="00997A4A"/>
    <w:rsid w:val="009E3C2B"/>
    <w:rsid w:val="009E3C46"/>
    <w:rsid w:val="00A02555"/>
    <w:rsid w:val="00A04D0B"/>
    <w:rsid w:val="00A41853"/>
    <w:rsid w:val="00A44FD5"/>
    <w:rsid w:val="00A465BD"/>
    <w:rsid w:val="00A5453D"/>
    <w:rsid w:val="00A5747B"/>
    <w:rsid w:val="00A97612"/>
    <w:rsid w:val="00AB1A05"/>
    <w:rsid w:val="00AB4E8D"/>
    <w:rsid w:val="00B10311"/>
    <w:rsid w:val="00B52C0D"/>
    <w:rsid w:val="00B5764A"/>
    <w:rsid w:val="00B60412"/>
    <w:rsid w:val="00B70822"/>
    <w:rsid w:val="00BA424A"/>
    <w:rsid w:val="00BB261A"/>
    <w:rsid w:val="00BD3D2E"/>
    <w:rsid w:val="00BE60EE"/>
    <w:rsid w:val="00BF6154"/>
    <w:rsid w:val="00C13800"/>
    <w:rsid w:val="00C329D8"/>
    <w:rsid w:val="00C42972"/>
    <w:rsid w:val="00CA07CC"/>
    <w:rsid w:val="00CC0866"/>
    <w:rsid w:val="00CD2548"/>
    <w:rsid w:val="00CD4DB2"/>
    <w:rsid w:val="00CE27C2"/>
    <w:rsid w:val="00D10FDB"/>
    <w:rsid w:val="00D7412D"/>
    <w:rsid w:val="00DA285E"/>
    <w:rsid w:val="00DC3E09"/>
    <w:rsid w:val="00DE1F39"/>
    <w:rsid w:val="00DF710D"/>
    <w:rsid w:val="00E06F9D"/>
    <w:rsid w:val="00E50E26"/>
    <w:rsid w:val="00E56024"/>
    <w:rsid w:val="00E57187"/>
    <w:rsid w:val="00E627DD"/>
    <w:rsid w:val="00ED5273"/>
    <w:rsid w:val="00ED5B80"/>
    <w:rsid w:val="00F0114F"/>
    <w:rsid w:val="00F616B8"/>
    <w:rsid w:val="00F61E13"/>
    <w:rsid w:val="00F66074"/>
    <w:rsid w:val="00F66826"/>
    <w:rsid w:val="00FA1E73"/>
    <w:rsid w:val="00FA3366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18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E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62348877374784"/>
          <c:y val="3.9156626506024098E-2"/>
          <c:w val="0.62694300518134727"/>
          <c:h val="0.852409638554217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801189688383888E-2"/>
                  <c:y val="-4.4375332417109031E-2"/>
                </c:manualLayout>
              </c:layout>
              <c:showVal val="1"/>
            </c:dLbl>
            <c:dLbl>
              <c:idx val="1"/>
              <c:layout>
                <c:manualLayout>
                  <c:x val="1.0823957973901881E-2"/>
                  <c:y val="-1.1324546135691723E-2"/>
                </c:manualLayout>
              </c:layout>
              <c:showVal val="1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месяцев 2015 года</c:v>
                </c:pt>
                <c:pt idx="1">
                  <c:v>9 месяцев 2016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458070.2</c:v>
                </c:pt>
                <c:pt idx="1">
                  <c:v>446022.8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147967002939064E-2"/>
                  <c:y val="-4.5885930720425371E-2"/>
                </c:manualLayout>
              </c:layout>
              <c:showVal val="1"/>
            </c:dLbl>
            <c:dLbl>
              <c:idx val="1"/>
              <c:layout>
                <c:manualLayout>
                  <c:x val="3.3079198155469024E-2"/>
                  <c:y val="-1.8691103801353571E-2"/>
                </c:manualLayout>
              </c:layout>
              <c:showVal val="1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месяцев 2015 года</c:v>
                </c:pt>
                <c:pt idx="1">
                  <c:v>9 месяцев 2016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449679.1</c:v>
                </c:pt>
                <c:pt idx="1">
                  <c:v>497677.3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Результат исполнения</c:v>
                </c:pt>
              </c:strCache>
            </c:strRef>
          </c:tx>
          <c:spPr>
            <a:solidFill>
              <a:srgbClr val="FFFFCC"/>
            </a:solidFill>
            <a:ln w="1272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560464839146402E-2"/>
                  <c:y val="-3.1248369894259737E-2"/>
                </c:manualLayout>
              </c:layout>
              <c:showVal val="1"/>
            </c:dLbl>
            <c:dLbl>
              <c:idx val="1"/>
              <c:layout>
                <c:manualLayout>
                  <c:x val="3.4065245927863211E-2"/>
                  <c:y val="8.3822749965450263E-2"/>
                </c:manualLayout>
              </c:layout>
              <c:showVal val="1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месяцев 2015 года</c:v>
                </c:pt>
                <c:pt idx="1">
                  <c:v>9 месяцев 2016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.0">
                  <c:v>8391.1</c:v>
                </c:pt>
                <c:pt idx="1">
                  <c:v>-51654.5</c:v>
                </c:pt>
              </c:numCache>
            </c:numRef>
          </c:val>
        </c:ser>
        <c:gapDepth val="0"/>
        <c:shape val="box"/>
        <c:axId val="52832512"/>
        <c:axId val="52858880"/>
        <c:axId val="0"/>
      </c:bar3DChart>
      <c:catAx>
        <c:axId val="52832512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858880"/>
        <c:crosses val="autoZero"/>
        <c:auto val="1"/>
        <c:lblAlgn val="ctr"/>
        <c:lblOffset val="100"/>
        <c:tickLblSkip val="1"/>
        <c:tickMarkSkip val="1"/>
      </c:catAx>
      <c:valAx>
        <c:axId val="52858880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2832512"/>
        <c:crosses val="autoZero"/>
        <c:crossBetween val="between"/>
      </c:valAx>
      <c:spPr>
        <a:noFill/>
        <a:ln w="25443">
          <a:noFill/>
        </a:ln>
      </c:spPr>
    </c:plotArea>
    <c:legend>
      <c:legendPos val="r"/>
      <c:layout>
        <c:manualLayout>
          <c:xMode val="edge"/>
          <c:yMode val="edge"/>
          <c:x val="0.78065630397236607"/>
          <c:y val="0.28915662650602403"/>
          <c:w val="0.20898100172711576"/>
          <c:h val="0.34036144578313254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096774193548389"/>
          <c:y val="9.1463414634146339E-2"/>
          <c:w val="0.82903225806451619"/>
          <c:h val="0.414634146341463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197644649257569"/>
                  <c:y val="-0.13574630228844545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1954110574887815"/>
                  <c:y val="5.572689078523629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5.7020023034754723E-4"/>
                  <c:y val="6.1686668599910614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5.8301481132062793E-2"/>
                  <c:y val="2.9089217676378558E-2"/>
                </c:manualLayout>
              </c:layout>
              <c:dLblPos val="bestFit"/>
              <c:showVal val="1"/>
            </c:dLbl>
            <c:dLbl>
              <c:idx val="4"/>
              <c:layout/>
              <c:dLblPos val="bestFit"/>
              <c:showVal val="1"/>
            </c:dLbl>
            <c:dLbl>
              <c:idx val="5"/>
              <c:layout>
                <c:manualLayout>
                  <c:x val="0.17247184424527581"/>
                  <c:y val="6.8398832810362851E-3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4.6979654424917382E-2"/>
                  <c:y val="1.9438696146851068E-2"/>
                </c:manualLayout>
              </c:layout>
              <c:dLblPos val="bestFit"/>
              <c:showVal val="1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НДФЛ - 69,3%</c:v>
                </c:pt>
                <c:pt idx="1">
                  <c:v>Акцизы - 7,3%</c:v>
                </c:pt>
                <c:pt idx="2">
                  <c:v>Налоги на совокупный доход -2,5%</c:v>
                </c:pt>
                <c:pt idx="3">
                  <c:v>Налоги на имущество -0,9%</c:v>
                </c:pt>
                <c:pt idx="4">
                  <c:v>Прочие налоговые доходы - 1,2%</c:v>
                </c:pt>
                <c:pt idx="5">
                  <c:v>Доходы от использования имущества 11,2%</c:v>
                </c:pt>
                <c:pt idx="6">
                  <c:v>Прочие неналоговые доходы - 7,6%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0.69299999999999995</c:v>
                </c:pt>
                <c:pt idx="1">
                  <c:v>7.3000000000000009E-2</c:v>
                </c:pt>
                <c:pt idx="2">
                  <c:v>2.5000000000000001E-2</c:v>
                </c:pt>
                <c:pt idx="3">
                  <c:v>9.0000000000000028E-3</c:v>
                </c:pt>
                <c:pt idx="4">
                  <c:v>1.2E-2</c:v>
                </c:pt>
                <c:pt idx="5">
                  <c:v>0.112</c:v>
                </c:pt>
                <c:pt idx="6">
                  <c:v>7.5999999999999998E-2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НДФЛ - 69,3%</c:v>
                </c:pt>
                <c:pt idx="1">
                  <c:v>Акцизы - 7,3%</c:v>
                </c:pt>
                <c:pt idx="2">
                  <c:v>Налоги на совокупный доход -2,5%</c:v>
                </c:pt>
                <c:pt idx="3">
                  <c:v>Налоги на имущество -0,9%</c:v>
                </c:pt>
                <c:pt idx="4">
                  <c:v>Прочие налоговые доходы - 1,2%</c:v>
                </c:pt>
                <c:pt idx="5">
                  <c:v>Доходы от использования имущества 11,2%</c:v>
                </c:pt>
                <c:pt idx="6">
                  <c:v>Прочие неналоговые доходы - 7,6%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НДФЛ - 69,3%</c:v>
                </c:pt>
                <c:pt idx="1">
                  <c:v>Акцизы - 7,3%</c:v>
                </c:pt>
                <c:pt idx="2">
                  <c:v>Налоги на совокупный доход -2,5%</c:v>
                </c:pt>
                <c:pt idx="3">
                  <c:v>Налоги на имущество -0,9%</c:v>
                </c:pt>
                <c:pt idx="4">
                  <c:v>Прочие налоговые доходы - 1,2%</c:v>
                </c:pt>
                <c:pt idx="5">
                  <c:v>Доходы от использования имущества 11,2%</c:v>
                </c:pt>
                <c:pt idx="6">
                  <c:v>Прочие неналоговые доходы - 7,6%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egendEntry>
        <c:idx val="4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9.8387096774193564E-2"/>
          <c:y val="0.61788617886178854"/>
          <c:w val="0.77419354838709675"/>
          <c:h val="0.384146341463414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40"/>
      <c:hPercent val="42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72664359861595"/>
          <c:y val="3.1468531468531472E-2"/>
          <c:w val="0.8719723183391006"/>
          <c:h val="0.688811188811188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6125574515741E-3"/>
                  <c:y val="0.15441702370836244"/>
                </c:manualLayout>
              </c:layout>
              <c:showVal val="1"/>
            </c:dLbl>
            <c:dLbl>
              <c:idx val="1"/>
              <c:layout>
                <c:manualLayout>
                  <c:x val="4.2865761404146481E-3"/>
                  <c:y val="0.1794408025116688"/>
                </c:manualLayout>
              </c:layout>
              <c:showVal val="1"/>
            </c:dLbl>
            <c:spPr>
              <a:solidFill>
                <a:srgbClr val="FFFF00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месяцев 2015г. Всего - 215607,0 тыс.руб.</c:v>
                </c:pt>
                <c:pt idx="1">
                  <c:v>9 месяцев 2016г. Всего - 215974,9 тыс. руб.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166095.6</c:v>
                </c:pt>
                <c:pt idx="1">
                  <c:v>175325.1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0930494167714967E-2"/>
                  <c:y val="0.15669708527976253"/>
                </c:manualLayout>
              </c:layout>
              <c:showVal val="1"/>
            </c:dLbl>
            <c:dLbl>
              <c:idx val="1"/>
              <c:layout>
                <c:manualLayout>
                  <c:x val="2.3383059569358024E-2"/>
                  <c:y val="7.3010572105060179E-2"/>
                </c:manualLayout>
              </c:layout>
              <c:showVal val="1"/>
            </c:dLbl>
            <c:spPr>
              <a:solidFill>
                <a:srgbClr val="FFFF00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9 месяцев 2015г. Всего - 215607,0 тыс.руб.</c:v>
                </c:pt>
                <c:pt idx="1">
                  <c:v>9 месяцев 2016г. Всего - 215974,9 тыс. руб.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49511.4</c:v>
                </c:pt>
                <c:pt idx="1">
                  <c:v>40649.800000000003</c:v>
                </c:pt>
              </c:numCache>
            </c:numRef>
          </c:val>
        </c:ser>
        <c:gapDepth val="0"/>
        <c:shape val="box"/>
        <c:axId val="97533312"/>
        <c:axId val="97543296"/>
        <c:axId val="0"/>
      </c:bar3DChart>
      <c:catAx>
        <c:axId val="975333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543296"/>
        <c:crosses val="autoZero"/>
        <c:auto val="1"/>
        <c:lblAlgn val="ctr"/>
        <c:lblOffset val="100"/>
        <c:tickLblSkip val="1"/>
        <c:tickMarkSkip val="1"/>
      </c:catAx>
      <c:valAx>
        <c:axId val="97543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5333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5778546712802775"/>
          <c:y val="0.90209790209790208"/>
          <c:w val="0.48442906574394473"/>
          <c:h val="8.7412587412587395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606741573033713"/>
          <c:y val="0.25367647058823528"/>
          <c:w val="0.72873194221508852"/>
          <c:h val="0.332720588235294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99FF"/>
            </a:solidFill>
            <a:ln w="12723">
              <a:solidFill>
                <a:srgbClr val="000000"/>
              </a:solidFill>
              <a:prstDash val="solid"/>
            </a:ln>
          </c:spPr>
          <c:explosion val="34"/>
          <c:dPt>
            <c:idx val="1"/>
            <c:spPr>
              <a:solidFill>
                <a:srgbClr val="9933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2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0787354548919895"/>
                  <c:y val="-0.10942887306018383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8.8368324922845701E-2"/>
                  <c:y val="-1.9259866513108695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2.1732106188663954E-2"/>
                  <c:y val="-5.0744669634896579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4.5087691031454824E-2"/>
                  <c:y val="-2.963872788953837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6.1166235402561754E-2"/>
                  <c:y val="-0.12297339789998425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9.4977412084305185E-2"/>
                  <c:y val="-0.1310063189637066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9.9673889697699122E-2"/>
                  <c:y val="5.7801907511958496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43980738362760846"/>
                  <c:y val="0.18566176470588236"/>
                </c:manualLayout>
              </c:layout>
              <c:dLblPos val="bestFit"/>
              <c:showVal val="1"/>
            </c:dLbl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215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25446">
                  <a:solidFill>
                    <a:srgbClr val="000000"/>
                  </a:solidFill>
                  <a:prstDash val="solid"/>
                </a:ln>
              </c:spPr>
            </c:leaderLines>
          </c:dLbls>
          <c:cat>
            <c:strRef>
              <c:f>Sheet1!$B$1:$H$1</c:f>
              <c:strCache>
                <c:ptCount val="7"/>
                <c:pt idx="0">
                  <c:v>Оплата труда и начисления</c:v>
                </c:pt>
                <c:pt idx="1">
                  <c:v>Закупка товаров, работ и услуг</c:v>
                </c:pt>
                <c:pt idx="2">
                  <c:v>Безвозм. перечисления организациям</c:v>
                </c:pt>
                <c:pt idx="3">
                  <c:v>Межбюджетные трансферты</c:v>
                </c:pt>
                <c:pt idx="4">
                  <c:v>Социальное обеспечение</c:v>
                </c:pt>
                <c:pt idx="5">
                  <c:v>Капитальные вложения</c:v>
                </c:pt>
                <c:pt idx="6">
                  <c:v>Прочие расходы</c:v>
                </c:pt>
              </c:strCache>
            </c:strRef>
          </c:cat>
          <c:val>
            <c:numRef>
              <c:f>Sheet1!$B$2:$H$2</c:f>
              <c:numCache>
                <c:formatCode>0.0%</c:formatCode>
                <c:ptCount val="7"/>
                <c:pt idx="0">
                  <c:v>0.4870000000000001</c:v>
                </c:pt>
                <c:pt idx="1">
                  <c:v>0.11100000000000002</c:v>
                </c:pt>
                <c:pt idx="2">
                  <c:v>0.18400000000000002</c:v>
                </c:pt>
                <c:pt idx="3">
                  <c:v>3.8000000000000006E-2</c:v>
                </c:pt>
                <c:pt idx="4">
                  <c:v>1.0000000000000002E-2</c:v>
                </c:pt>
                <c:pt idx="5">
                  <c:v>0.14500000000000002</c:v>
                </c:pt>
                <c:pt idx="6">
                  <c:v>2.5000000000000005E-2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2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5682182985553782E-2"/>
          <c:y val="0.8125"/>
          <c:w val="0.94703049759229541"/>
          <c:h val="0.18198529411764711"/>
        </c:manualLayout>
      </c:layout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4295-1742-4883-BBE5-4417E22E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Партизанского МР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2</cp:revision>
  <cp:lastPrinted>2013-11-11T04:12:00Z</cp:lastPrinted>
  <dcterms:created xsi:type="dcterms:W3CDTF">2014-10-31T01:37:00Z</dcterms:created>
  <dcterms:modified xsi:type="dcterms:W3CDTF">2016-11-18T01:33:00Z</dcterms:modified>
</cp:coreProperties>
</file>