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45" w:rsidRDefault="00F97245" w:rsidP="00F97245">
      <w:pPr>
        <w:pStyle w:val="af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97245" w:rsidRDefault="00F97245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C1E783" wp14:editId="10DB3667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92" w:rsidRDefault="00DD6B0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9A6192" w:rsidRDefault="00DD6B0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ПАРТИЗАНСКОГО МУНИПАЛЬНОГО ОКРУГА </w:t>
      </w:r>
    </w:p>
    <w:p w:rsidR="009A6192" w:rsidRDefault="00DD6B0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ПРИМОРСКОГО КРАЯ    </w:t>
      </w:r>
    </w:p>
    <w:p w:rsidR="009A6192" w:rsidRDefault="00DD6B0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A6192" w:rsidRDefault="009A619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9A6192" w:rsidRDefault="00DD6B0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-Александровское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  </w:t>
      </w:r>
    </w:p>
    <w:p w:rsidR="009A6192" w:rsidRDefault="00DD6B0B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принятия)</w:t>
      </w:r>
    </w:p>
    <w:p w:rsidR="009A6192" w:rsidRDefault="009A6192">
      <w:pPr>
        <w:tabs>
          <w:tab w:val="left" w:pos="7560"/>
        </w:tabs>
        <w:rPr>
          <w:rFonts w:eastAsia="Times New Roman"/>
          <w:sz w:val="28"/>
          <w:szCs w:val="28"/>
        </w:rPr>
      </w:pPr>
    </w:p>
    <w:p w:rsidR="009A6192" w:rsidRDefault="00DD6B0B" w:rsidP="00F97245">
      <w:pPr>
        <w:tabs>
          <w:tab w:val="left" w:pos="7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«Об утверждении Порядка </w:t>
      </w:r>
      <w:r>
        <w:rPr>
          <w:rFonts w:eastAsia="Times New Roman"/>
          <w:sz w:val="28"/>
          <w:szCs w:val="28"/>
        </w:rPr>
        <w:t>определения размера</w:t>
      </w:r>
    </w:p>
    <w:p w:rsidR="009A6192" w:rsidRDefault="00DD6B0B" w:rsidP="00F97245">
      <w:pPr>
        <w:tabs>
          <w:tab w:val="left" w:pos="7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арендной платы за использование </w:t>
      </w:r>
      <w:proofErr w:type="gramStart"/>
      <w:r>
        <w:rPr>
          <w:rFonts w:eastAsia="Times New Roman"/>
          <w:sz w:val="28"/>
          <w:szCs w:val="28"/>
        </w:rPr>
        <w:t>земельных</w:t>
      </w:r>
      <w:proofErr w:type="gramEnd"/>
    </w:p>
    <w:p w:rsidR="009A6192" w:rsidRDefault="00DD6B0B" w:rsidP="00F97245">
      <w:pPr>
        <w:tabs>
          <w:tab w:val="left" w:pos="7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участков, находящихся в </w:t>
      </w:r>
      <w:proofErr w:type="gramStart"/>
      <w:r>
        <w:rPr>
          <w:rFonts w:eastAsia="Times New Roman"/>
          <w:sz w:val="28"/>
          <w:szCs w:val="28"/>
        </w:rPr>
        <w:t>муниципальной</w:t>
      </w:r>
      <w:proofErr w:type="gramEnd"/>
    </w:p>
    <w:p w:rsidR="009A6192" w:rsidRDefault="00DD6B0B" w:rsidP="00F97245">
      <w:pPr>
        <w:tabs>
          <w:tab w:val="left" w:pos="7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собственности Партизанского муниципального</w:t>
      </w:r>
    </w:p>
    <w:p w:rsidR="009A6192" w:rsidRDefault="00DD6B0B" w:rsidP="00F97245">
      <w:pPr>
        <w:tabs>
          <w:tab w:val="left" w:pos="7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предоставленных в аренду без проведения торгов»</w:t>
      </w:r>
    </w:p>
    <w:p w:rsidR="009A6192" w:rsidRDefault="00DD6B0B" w:rsidP="00F97245">
      <w:pPr>
        <w:shd w:val="clear" w:color="auto" w:fill="FFFFFF"/>
        <w:spacing w:before="374"/>
        <w:ind w:left="5" w:right="10" w:firstLine="658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В соответствии с Земельным кодексом Российской Федерации,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                         и от 25.10.2001 № 137-ФЗ «О введении в действие Земельного кодекса Российской Федерации», постановлением П</w:t>
      </w:r>
      <w:r>
        <w:rPr>
          <w:rFonts w:eastAsia="Times New Roman"/>
          <w:color w:val="000000"/>
          <w:spacing w:val="3"/>
          <w:sz w:val="28"/>
          <w:szCs w:val="28"/>
        </w:rPr>
        <w:t>равительства Российской Федерации от 16.07.2009 № 582 «Об основных принципах определения арендной платы при аренде земельных участков, находящихся                                  в государственной или муниципальной собственности, и о Правилах определения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Минэкономразвития России                     от 29.12.2017 № 710 «Об утверждении Методических рекомендац</w:t>
      </w:r>
      <w:r>
        <w:rPr>
          <w:rFonts w:eastAsia="Times New Roman"/>
          <w:color w:val="000000"/>
          <w:spacing w:val="3"/>
          <w:sz w:val="28"/>
          <w:szCs w:val="28"/>
        </w:rPr>
        <w:t>ий            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 5</w:t>
      </w:r>
      <w:r>
        <w:rPr>
          <w:rFonts w:eastAsia="Times New Roman"/>
          <w:color w:val="000000"/>
          <w:spacing w:val="3"/>
          <w:sz w:val="28"/>
          <w:szCs w:val="28"/>
        </w:rPr>
        <w:t>82», Классификатором видов разрешенного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использования земельных участков, утвержденным приказом Федеральной службы государственной регистрации, кадастра и картографии от 10.11.2020           №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/0412, Законом Приморского края от 29.12.2003 № 90-КЗ        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          «О регулировании земельных отношений в Приморском крае», постановлением Администрации Приморского края  от 11.03.2015          </w:t>
      </w:r>
    </w:p>
    <w:p w:rsidR="009A6192" w:rsidRDefault="00DD6B0B" w:rsidP="00F97245">
      <w:pPr>
        <w:shd w:val="clear" w:color="auto" w:fill="FFFFFF"/>
        <w:spacing w:before="374"/>
        <w:ind w:left="5" w:right="10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3"/>
          <w:sz w:val="28"/>
          <w:szCs w:val="28"/>
        </w:rPr>
        <w:t>75-па «О Порядке определения размера арендной платы                       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торгов», заклю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чением (отчетом) о выполнении расчета и экономического обоснования размера функциональных и корректирующих коэффициентов, применяемых при расчете арендной платы за земельные участки, находящиеся                          </w:t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>в муниципальной собственности Партиз</w:t>
      </w:r>
      <w:r>
        <w:rPr>
          <w:rFonts w:eastAsia="Times New Roman"/>
          <w:color w:val="000000"/>
          <w:spacing w:val="3"/>
          <w:sz w:val="28"/>
          <w:szCs w:val="28"/>
        </w:rPr>
        <w:t>анского муниципального округа, предоставленные в аренду без проведения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торгов, подготовленным обществом с ограниченной ответственностью «ЭКОНОМБЮРО»              в рамках договора на оказание услуг от 13.01.2025 № 1, в целях исполнения подпункта 2.1 пункта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 перечня поручений Губернатора Приморского края по итогам оперативного совещания с органами исполнительной власти Приморского края и главами муниципальных образований Приморского края от 25.11.2024 № 144-15П, руководствуясь статьями 81, 83 Устава Партиза</w:t>
      </w:r>
      <w:r>
        <w:rPr>
          <w:rFonts w:eastAsia="Times New Roman"/>
          <w:color w:val="000000"/>
          <w:spacing w:val="3"/>
          <w:sz w:val="28"/>
          <w:szCs w:val="28"/>
        </w:rPr>
        <w:t>нского муниципального округа, Дума Партизанского муниципального округа</w:t>
      </w:r>
      <w:proofErr w:type="gramEnd"/>
    </w:p>
    <w:p w:rsidR="009A6192" w:rsidRDefault="009A6192" w:rsidP="00F97245">
      <w:pPr>
        <w:shd w:val="clear" w:color="auto" w:fill="FFFFFF"/>
        <w:spacing w:before="374"/>
        <w:ind w:left="5" w:right="10" w:firstLine="658"/>
        <w:jc w:val="both"/>
        <w:rPr>
          <w:rFonts w:eastAsia="Times New Roman"/>
          <w:color w:val="000000"/>
          <w:spacing w:val="3"/>
        </w:rPr>
      </w:pPr>
    </w:p>
    <w:p w:rsidR="009A6192" w:rsidRDefault="00DD6B0B" w:rsidP="00F97245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9A6192" w:rsidRDefault="009A6192" w:rsidP="00F97245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192" w:rsidRDefault="00DD6B0B" w:rsidP="00F9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муниципальный правовой акт «Об утверждении Порядка определения размера арендной платы за использование земельных участков, находящихся в муниципальной собственности</w:t>
      </w:r>
      <w:r>
        <w:rPr>
          <w:sz w:val="28"/>
          <w:szCs w:val="28"/>
        </w:rPr>
        <w:t xml:space="preserve"> Партизанского муниципального округа, предоставленных в аренду без проведения торгов» (прилагается).</w:t>
      </w:r>
    </w:p>
    <w:p w:rsidR="009A6192" w:rsidRDefault="00DD6B0B" w:rsidP="00F9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Партизанского муниципального района от 27.02.2015 №151 «Об утверждении Порядка определения размера арендной платы </w:t>
      </w:r>
      <w:r>
        <w:rPr>
          <w:sz w:val="28"/>
          <w:szCs w:val="28"/>
        </w:rPr>
        <w:t>за использование земельных участков, находящихся в муниципальной собственности Партизанского муниципального района и предоставляемых без проведения торгов».</w:t>
      </w:r>
    </w:p>
    <w:p w:rsidR="009A6192" w:rsidRDefault="00DD6B0B" w:rsidP="00F9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муниципальный правовой акт главе Партизанского муниципального округа Приморского края </w:t>
      </w:r>
      <w:r>
        <w:rPr>
          <w:sz w:val="28"/>
          <w:szCs w:val="28"/>
        </w:rPr>
        <w:t xml:space="preserve">для подписания                               </w:t>
      </w:r>
      <w:r>
        <w:rPr>
          <w:sz w:val="28"/>
          <w:szCs w:val="28"/>
        </w:rPr>
        <w:t>и официального обнародования в газете «Золотая Долина».</w:t>
      </w:r>
    </w:p>
    <w:p w:rsidR="009A6192" w:rsidRDefault="00DD6B0B" w:rsidP="00F972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A6192" w:rsidRDefault="00DD6B0B" w:rsidP="00F9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9A6192" w:rsidRDefault="009A6192">
      <w:pPr>
        <w:spacing w:line="360" w:lineRule="auto"/>
        <w:ind w:firstLine="709"/>
        <w:jc w:val="both"/>
        <w:rPr>
          <w:sz w:val="28"/>
          <w:szCs w:val="28"/>
        </w:rPr>
      </w:pPr>
    </w:p>
    <w:p w:rsidR="009A6192" w:rsidRDefault="009A6192">
      <w:pPr>
        <w:spacing w:line="360" w:lineRule="auto"/>
        <w:ind w:firstLine="709"/>
        <w:jc w:val="both"/>
        <w:rPr>
          <w:sz w:val="28"/>
          <w:szCs w:val="28"/>
        </w:rPr>
      </w:pPr>
    </w:p>
    <w:p w:rsidR="009A6192" w:rsidRDefault="00DD6B0B">
      <w:pPr>
        <w:pStyle w:val="af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Н.Г.Бутурлин</w:t>
      </w:r>
      <w:proofErr w:type="spellEnd"/>
    </w:p>
    <w:p w:rsidR="009A6192" w:rsidRDefault="009A6192">
      <w:pPr>
        <w:jc w:val="right"/>
        <w:rPr>
          <w:rFonts w:eastAsia="Times New Roman"/>
          <w:sz w:val="28"/>
          <w:szCs w:val="28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F97245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ПРОЕКТ</w:t>
      </w:r>
    </w:p>
    <w:p w:rsidR="009A6192" w:rsidRDefault="009A6192"/>
    <w:p w:rsidR="009A6192" w:rsidRDefault="00DD6B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9A6192" w:rsidRDefault="009A6192"/>
    <w:p w:rsidR="009A6192" w:rsidRDefault="00DD6B0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Порядок</w:t>
      </w:r>
    </w:p>
    <w:p w:rsidR="009A6192" w:rsidRDefault="00DD6B0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определения размера арендной платы за использование </w:t>
      </w:r>
    </w:p>
    <w:p w:rsidR="009A6192" w:rsidRDefault="00DD6B0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земельных участков, находящихся в муниципальной собственности Партизанского муниципального округа, </w:t>
      </w:r>
    </w:p>
    <w:p w:rsidR="009A6192" w:rsidRDefault="00DD6B0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предоставляемых  в аренду без проведения торгов</w:t>
      </w:r>
    </w:p>
    <w:p w:rsidR="009A6192" w:rsidRDefault="009A6192">
      <w:pPr>
        <w:jc w:val="center"/>
        <w:rPr>
          <w:rFonts w:eastAsia="Times New Roman"/>
          <w:sz w:val="28"/>
          <w:szCs w:val="28"/>
        </w:rPr>
      </w:pPr>
    </w:p>
    <w:p w:rsidR="009A6192" w:rsidRDefault="00DD6B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>Принят</w:t>
      </w:r>
      <w:proofErr w:type="gramEnd"/>
      <w:r>
        <w:rPr>
          <w:rFonts w:eastAsia="Times New Roman"/>
          <w:sz w:val="28"/>
          <w:szCs w:val="28"/>
        </w:rPr>
        <w:t xml:space="preserve"> решением</w:t>
      </w:r>
    </w:p>
    <w:p w:rsidR="009A6192" w:rsidRDefault="00DD6B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Думы Партизанского</w:t>
      </w:r>
    </w:p>
    <w:p w:rsidR="009A6192" w:rsidRDefault="00DD6B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муниципального округа         </w:t>
      </w:r>
    </w:p>
    <w:p w:rsidR="009A6192" w:rsidRDefault="00DD6B0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Приморского края</w:t>
      </w:r>
    </w:p>
    <w:p w:rsidR="009A6192" w:rsidRDefault="00DD6B0B">
      <w:pPr>
        <w:jc w:val="right"/>
        <w:rPr>
          <w:color w:val="000000"/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____ №____ </w:t>
      </w:r>
    </w:p>
    <w:p w:rsidR="009A6192" w:rsidRDefault="009A6192">
      <w:pPr>
        <w:jc w:val="center"/>
        <w:rPr>
          <w:color w:val="000000"/>
          <w:spacing w:val="-8"/>
          <w:sz w:val="28"/>
          <w:szCs w:val="28"/>
        </w:rPr>
      </w:pPr>
    </w:p>
    <w:p w:rsidR="009A6192" w:rsidRDefault="00DD6B0B">
      <w:pPr>
        <w:pStyle w:val="af2"/>
        <w:spacing w:beforeAutospacing="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A6192" w:rsidRDefault="00DD6B0B">
      <w:pPr>
        <w:widowControl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Порядок определения размера арендной платы за использование земельных участков, находящихся в муниципальной собственности Партизанского муниципального округа, предоставленных  в аренду без проведения торгов, разработан с целью определения размера арендной </w:t>
      </w:r>
      <w:r>
        <w:rPr>
          <w:rFonts w:eastAsiaTheme="minorHAnsi"/>
          <w:sz w:val="28"/>
          <w:szCs w:val="28"/>
          <w:lang w:eastAsia="en-US"/>
        </w:rPr>
        <w:t>платы за использование  земельных участков, упорядочения расчетов величин размеров арендной платы за земельные участки, а также установления порядка, условий и сроков внесения арендной платы                       за земельные участки в соответствии с Земел</w:t>
      </w:r>
      <w:r>
        <w:rPr>
          <w:rFonts w:eastAsiaTheme="minorHAnsi"/>
          <w:sz w:val="28"/>
          <w:szCs w:val="28"/>
          <w:lang w:eastAsia="en-US"/>
        </w:rPr>
        <w:t xml:space="preserve">ьным </w:t>
      </w:r>
      <w:hyperlink r:id="rId8">
        <w:r>
          <w:rPr>
            <w:rFonts w:eastAsiaTheme="minorHAnsi"/>
            <w:sz w:val="28"/>
            <w:szCs w:val="28"/>
            <w:lang w:eastAsia="en-US"/>
          </w:rPr>
          <w:t>кодексом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9A6192" w:rsidRDefault="009A6192">
      <w:pPr>
        <w:widowControl/>
        <w:spacing w:line="30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A6192" w:rsidRDefault="00DD6B0B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Порядок определения размера </w:t>
      </w:r>
    </w:p>
    <w:p w:rsidR="009A6192" w:rsidRDefault="00DD6B0B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арендной платы за земельные участки</w:t>
      </w:r>
    </w:p>
    <w:p w:rsidR="009A6192" w:rsidRDefault="009A6192">
      <w:pPr>
        <w:widowControl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2.1. Размер арендной платы за земельные участки определяется 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в соответствии с основными принципами определения арендной платы, установленными Правительством Российской Федерации.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2.2.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В отношении земельных участков, указанных в пункте 2 статьи 39.6 Земельного кодекса Российской Федерации, а также земельн</w:t>
      </w:r>
      <w:r>
        <w:rPr>
          <w:rFonts w:eastAsia="Times New Roman"/>
          <w:color w:val="000000"/>
          <w:spacing w:val="-6"/>
          <w:sz w:val="28"/>
          <w:szCs w:val="28"/>
        </w:rPr>
        <w:t>ых участков, переданных некоммерческим организациям, осуществляющим образовательную деятельность, в аренду без проведения торгов, при условии расположения на таких земельных участках объектов недвижимого имущества, находящихся в муниципальной собственности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Партизанского муниципального округа и переданных указанным организациям в аренду без проведения торгов, на срок действия договора аренды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объекта недвижимого имущества, за исключением случаев, установленных пунктами  2.3 - 2.8 настоящего Порядка, расчет ар</w:t>
      </w:r>
      <w:r>
        <w:rPr>
          <w:rFonts w:eastAsia="Times New Roman"/>
          <w:color w:val="000000"/>
          <w:spacing w:val="-6"/>
          <w:sz w:val="28"/>
          <w:szCs w:val="28"/>
        </w:rPr>
        <w:t>ендной платы осуществляется по формуле:</w:t>
      </w:r>
    </w:p>
    <w:p w:rsidR="009A6192" w:rsidRDefault="009A6192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 = К x Сап, где:</w:t>
      </w:r>
    </w:p>
    <w:p w:rsidR="009A6192" w:rsidRDefault="009A61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- размер арендной платы за использование земельного участка, рублей в год;</w:t>
      </w:r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 - кадастровая стоимость передаваемого в аренду земельного участка, определяемая в соответствии с земельным законо</w:t>
      </w:r>
      <w:r>
        <w:rPr>
          <w:rFonts w:eastAsiaTheme="minorHAnsi"/>
          <w:sz w:val="28"/>
          <w:szCs w:val="28"/>
          <w:lang w:eastAsia="en-US"/>
        </w:rPr>
        <w:t>дательством Российской Федерации, рублей;</w:t>
      </w:r>
      <w:proofErr w:type="gramEnd"/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Сап - ставка арендной платы за использование земельного участка, %.</w:t>
      </w:r>
    </w:p>
    <w:p w:rsidR="009A6192" w:rsidRDefault="009A619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Ставка арендной платы рассчитывается по формуле:</w:t>
      </w:r>
    </w:p>
    <w:p w:rsidR="009A6192" w:rsidRDefault="009A619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A6192" w:rsidRDefault="00DD6B0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Сап = </w:t>
      </w:r>
      <w:proofErr w:type="spellStart"/>
      <w:r>
        <w:rPr>
          <w:rFonts w:eastAsiaTheme="minorHAnsi"/>
          <w:sz w:val="28"/>
          <w:szCs w:val="28"/>
          <w:lang w:eastAsia="en-US"/>
        </w:rPr>
        <w:t>Кфи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>
        <w:rPr>
          <w:rFonts w:eastAsiaTheme="minorHAnsi"/>
          <w:sz w:val="28"/>
          <w:szCs w:val="28"/>
          <w:lang w:eastAsia="en-US"/>
        </w:rPr>
        <w:t>Ккор</w:t>
      </w:r>
      <w:proofErr w:type="spellEnd"/>
      <w:r>
        <w:rPr>
          <w:rFonts w:eastAsiaTheme="minorHAnsi"/>
          <w:sz w:val="28"/>
          <w:szCs w:val="28"/>
          <w:lang w:eastAsia="en-US"/>
        </w:rPr>
        <w:t>, где:</w:t>
      </w:r>
    </w:p>
    <w:p w:rsidR="009A6192" w:rsidRDefault="00DD6B0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Кфи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функциональный коэффициент (приложение 1 к настоящему Порядку);</w:t>
      </w:r>
    </w:p>
    <w:p w:rsidR="009A6192" w:rsidRDefault="00DD6B0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Ккор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корректирующий коэффициент (приложение 2 к настоящему Порядку).</w:t>
      </w:r>
    </w:p>
    <w:p w:rsidR="009A6192" w:rsidRDefault="009A6192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6192" w:rsidRDefault="00DD6B0B">
      <w:pPr>
        <w:widowControl/>
        <w:spacing w:line="30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Размер арендной платы за земельные участки, предоставленные для размещения объектов, предусмотренных подпункто</w:t>
      </w:r>
      <w:r>
        <w:rPr>
          <w:rFonts w:eastAsiaTheme="minorHAnsi"/>
          <w:sz w:val="28"/>
          <w:szCs w:val="28"/>
          <w:lang w:eastAsia="en-US"/>
        </w:rPr>
        <w:t xml:space="preserve">м 2 статьи 49 </w:t>
      </w:r>
      <w:r>
        <w:rPr>
          <w:rFonts w:eastAsiaTheme="minorHAnsi"/>
          <w:sz w:val="28"/>
          <w:szCs w:val="28"/>
          <w:lang w:eastAsia="en-US"/>
        </w:rPr>
        <w:t>Земельного кодекса Российской Федерации, а также для ос</w:t>
      </w:r>
      <w:r>
        <w:rPr>
          <w:rFonts w:eastAsiaTheme="minorHAnsi"/>
          <w:sz w:val="28"/>
          <w:szCs w:val="28"/>
          <w:lang w:eastAsia="en-US"/>
        </w:rPr>
        <w:t>уществления пользования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2.4. Размер арендной платы за земельные участки, определяется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в размере не выше размера земельного налога, рассчитанного в отношении таких земельных участков, в случае заключения договора аренды земельных участков с лицами, перечисленными в пункте 5 статьи 39.7 Земельного кодекса Российской Федерации.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2.5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В случае предоставления земельного участка в аренду для целей, указанных в настоящем пункте, арендная плата</w:t>
      </w:r>
      <w:r>
        <w:t xml:space="preserve">  </w:t>
      </w:r>
      <w:r>
        <w:rPr>
          <w:rFonts w:eastAsia="Times New Roman"/>
          <w:color w:val="000000"/>
          <w:spacing w:val="-6"/>
          <w:sz w:val="28"/>
          <w:szCs w:val="28"/>
        </w:rPr>
        <w:t>определяется на основании  кадастровой стоимости земельного участка и рассчитывается в размере: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а) 0,1 процента в отношении </w:t>
      </w:r>
      <w:r>
        <w:rPr>
          <w:rFonts w:eastAsiaTheme="minorHAnsi"/>
          <w:sz w:val="28"/>
          <w:szCs w:val="28"/>
          <w:lang w:eastAsia="en-US"/>
        </w:rPr>
        <w:t xml:space="preserve">земельного участка, </w:t>
      </w:r>
      <w:r>
        <w:rPr>
          <w:rFonts w:eastAsiaTheme="minorHAnsi"/>
          <w:sz w:val="28"/>
          <w:szCs w:val="28"/>
          <w:lang w:eastAsia="en-US"/>
        </w:rPr>
        <w:t>предоставленного             в аренду для осуществления деятельности, предусмотренной соглашением          о муниципальном-частном партнерстве, в том числе концессионным соглашением;</w:t>
      </w:r>
      <w:proofErr w:type="gramEnd"/>
    </w:p>
    <w:p w:rsidR="009A6192" w:rsidRDefault="00DD6B0B">
      <w:pPr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б) 1 процента </w:t>
      </w:r>
      <w:r>
        <w:rPr>
          <w:rFonts w:eastAsiaTheme="minorHAnsi"/>
          <w:sz w:val="28"/>
          <w:szCs w:val="28"/>
          <w:lang w:eastAsia="en-US"/>
        </w:rPr>
        <w:t>земельного участка, предоставленного юридическим лицам в со</w:t>
      </w:r>
      <w:r>
        <w:rPr>
          <w:rFonts w:eastAsiaTheme="minorHAnsi"/>
          <w:sz w:val="28"/>
          <w:szCs w:val="28"/>
          <w:lang w:eastAsia="en-US"/>
        </w:rPr>
        <w:t>ответствии с распоряжением высшего должностного лица Приморского края для размещения объектов социально-культурного                 и коммунально-бытового назначения, реализации масштабных инвестиционных проектов при условии соответствия указанных объектов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A6192" w:rsidRDefault="00DD6B0B">
      <w:pPr>
        <w:spacing w:line="30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инвестиционных проектов критериям, установленным законом </w:t>
      </w:r>
      <w:r>
        <w:rPr>
          <w:rFonts w:eastAsiaTheme="minorHAnsi"/>
          <w:sz w:val="28"/>
          <w:szCs w:val="28"/>
          <w:lang w:eastAsia="en-US"/>
        </w:rPr>
        <w:lastRenderedPageBreak/>
        <w:t>Приморского края.</w:t>
      </w:r>
    </w:p>
    <w:p w:rsidR="009A6192" w:rsidRDefault="00DD6B0B">
      <w:pPr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Размер арендной платы определяется в соответствии со ставками арендной платы, установленными в отношении земельных участков, находящихся в федеральной собственности для со</w:t>
      </w:r>
      <w:r>
        <w:rPr>
          <w:rFonts w:eastAsiaTheme="minorHAnsi"/>
          <w:sz w:val="28"/>
          <w:szCs w:val="28"/>
          <w:lang w:eastAsia="en-US"/>
        </w:rPr>
        <w:t>ответствующих целей               в случае размещения:</w:t>
      </w:r>
    </w:p>
    <w:p w:rsidR="009A6192" w:rsidRDefault="00DD6B0B">
      <w:pPr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объектов систем электро-, газоснабжения, объектов систем теплоснабжения;</w:t>
      </w:r>
    </w:p>
    <w:p w:rsidR="009A6192" w:rsidRDefault="00DD6B0B">
      <w:pPr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объектов централизованных систем горячего водоснабжения, холодного водоснабжения и (или) водоотведения федерального, регионально</w:t>
      </w:r>
      <w:r>
        <w:rPr>
          <w:rFonts w:eastAsiaTheme="minorHAnsi"/>
          <w:sz w:val="28"/>
          <w:szCs w:val="28"/>
          <w:lang w:eastAsia="en-US"/>
        </w:rPr>
        <w:t>го или местного значения;</w:t>
      </w:r>
    </w:p>
    <w:p w:rsidR="009A6192" w:rsidRDefault="00DD6B0B">
      <w:pPr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автомобильных дорог федерального, регионального или межмуниципального, местного значения.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Размер арендной платы за земельные участки, </w:t>
      </w:r>
      <w:r>
        <w:rPr>
          <w:rFonts w:eastAsia="Times New Roman"/>
          <w:color w:val="000000"/>
          <w:spacing w:val="-6"/>
          <w:sz w:val="28"/>
          <w:szCs w:val="28"/>
          <w:lang w:eastAsia="en-US"/>
        </w:rPr>
        <w:t>находящиеся                   в собственности Партизанского муниципального округа, предоста</w:t>
      </w:r>
      <w:r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вленные               в аренду без торгов, </w:t>
      </w:r>
      <w:r>
        <w:rPr>
          <w:rFonts w:eastAsiaTheme="minorHAnsi"/>
          <w:sz w:val="28"/>
          <w:szCs w:val="28"/>
          <w:lang w:eastAsia="en-US"/>
        </w:rPr>
        <w:t xml:space="preserve">на которых расположен объект культурного наследия, приватизированный путем продажи на конкурсе в соответствии                           с Федеральным законом от 21 декабря 2001 года № 178-ФЗ                       </w:t>
      </w:r>
      <w:r>
        <w:rPr>
          <w:rFonts w:eastAsiaTheme="minorHAnsi"/>
          <w:sz w:val="28"/>
          <w:szCs w:val="28"/>
          <w:lang w:eastAsia="en-US"/>
        </w:rPr>
        <w:t xml:space="preserve">     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объекта.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2.8.</w:t>
      </w:r>
      <w:r>
        <w:t xml:space="preserve">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Размер арендной платы устанавливается равным одному рублю              в </w:t>
      </w:r>
      <w:r>
        <w:rPr>
          <w:rFonts w:eastAsia="Times New Roman"/>
          <w:color w:val="000000"/>
          <w:spacing w:val="-6"/>
          <w:sz w:val="28"/>
          <w:szCs w:val="28"/>
        </w:rPr>
        <w:t>год за земельные участки, находящиеся в собственности Партизанского муниципального округа, предоставленные в аренду без торгов в целях размещения культурно-образовательных и музейных комплексов, создаваемых в рамках реализации федерального проекта «Культур</w:t>
      </w:r>
      <w:r>
        <w:rPr>
          <w:rFonts w:eastAsia="Times New Roman"/>
          <w:color w:val="000000"/>
          <w:spacing w:val="-6"/>
          <w:sz w:val="28"/>
          <w:szCs w:val="28"/>
        </w:rPr>
        <w:t>ная среда», входящего в состав национального проекта «Культура», до момента передачи таких земельных участков в федеральную собственность.</w:t>
      </w:r>
      <w:proofErr w:type="gramEnd"/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2.9. При расчете арендной платы за земельные участки, находящиеся                в собственности Партизанского муници</w:t>
      </w:r>
      <w:r>
        <w:rPr>
          <w:rFonts w:eastAsia="Times New Roman"/>
          <w:color w:val="000000"/>
          <w:spacing w:val="-6"/>
          <w:sz w:val="28"/>
          <w:szCs w:val="28"/>
        </w:rPr>
        <w:t>пального округа, предоставленные</w:t>
      </w:r>
      <w:r>
        <w:rPr>
          <w:spacing w:val="-6"/>
          <w:sz w:val="28"/>
          <w:szCs w:val="28"/>
        </w:rPr>
        <w:t xml:space="preserve">            </w:t>
      </w:r>
      <w:r>
        <w:rPr>
          <w:rFonts w:eastAsia="Times New Roman"/>
          <w:color w:val="000000"/>
          <w:spacing w:val="-6"/>
          <w:sz w:val="28"/>
          <w:szCs w:val="28"/>
        </w:rPr>
        <w:t>в аренду без торгов, с более чем одним видом разрешенного использования размер ставки арендной платы определяется: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1) по каждому виду разрешенного использования пропорционально площади земельного участка, предназ</w:t>
      </w:r>
      <w:r>
        <w:rPr>
          <w:rFonts w:eastAsia="Times New Roman"/>
          <w:color w:val="000000"/>
          <w:spacing w:val="-6"/>
          <w:sz w:val="28"/>
          <w:szCs w:val="28"/>
        </w:rPr>
        <w:t>наченной для соответствующего использования из установленных договором видов разрешенного использования, если на таком земельном участке расположены здание, сооружение или помещения в указанных зданиях, сооружениях принадлежат нескольким лицам на праве соб</w:t>
      </w:r>
      <w:r>
        <w:rPr>
          <w:rFonts w:eastAsia="Times New Roman"/>
          <w:color w:val="000000"/>
          <w:spacing w:val="-6"/>
          <w:sz w:val="28"/>
          <w:szCs w:val="28"/>
        </w:rPr>
        <w:t>ственности, либо на таком земельном участке расположены несколько зданий, сооружений, принадлежащих нескольким</w:t>
      </w:r>
      <w:proofErr w:type="gramEnd"/>
    </w:p>
    <w:p w:rsidR="009A6192" w:rsidRDefault="00DD6B0B">
      <w:pPr>
        <w:spacing w:line="302" w:lineRule="auto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лицам на праве собственности;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2) по каждому виду разрешенного использования пропорционально </w:t>
      </w:r>
      <w:r>
        <w:rPr>
          <w:rFonts w:eastAsia="Times New Roman"/>
          <w:color w:val="000000"/>
          <w:spacing w:val="-6"/>
          <w:sz w:val="28"/>
          <w:szCs w:val="28"/>
        </w:rPr>
        <w:lastRenderedPageBreak/>
        <w:t>площади земельного участка, предназначенной для соо</w:t>
      </w:r>
      <w:r>
        <w:rPr>
          <w:rFonts w:eastAsia="Times New Roman"/>
          <w:color w:val="000000"/>
          <w:spacing w:val="-6"/>
          <w:sz w:val="28"/>
          <w:szCs w:val="28"/>
        </w:rPr>
        <w:t>тветствующего использования из установленных договором видов разрешенного использования, если на таком земельном участке расположены здание, сооружение или помещения в указанных зданиях, сооружениях, принадлежащие одному лицу на праве собственности, либо н</w:t>
      </w:r>
      <w:r>
        <w:rPr>
          <w:rFonts w:eastAsia="Times New Roman"/>
          <w:color w:val="000000"/>
          <w:spacing w:val="-6"/>
          <w:sz w:val="28"/>
          <w:szCs w:val="28"/>
        </w:rPr>
        <w:t>а таком земельном участке расположены несколько зданий, сооружений, принадлежащих одному лицу на праве собственности;</w:t>
      </w:r>
      <w:proofErr w:type="gramEnd"/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3) по наибольшему размеру коэффициента функционального использования, если на таком земельном участке: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находится объект незавершенного стр</w:t>
      </w:r>
      <w:r>
        <w:rPr>
          <w:rFonts w:eastAsia="Times New Roman"/>
          <w:color w:val="000000"/>
          <w:spacing w:val="-6"/>
          <w:sz w:val="28"/>
          <w:szCs w:val="28"/>
        </w:rPr>
        <w:t>оительства;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расположены здание, сооружение или помещения в указанных зданиях, сооружениях и в Едином государственном реестре недвижимости отсутствуют сведения о наименовании и (или) виде разрешенного использования указанных объектов, либо сведения, </w:t>
      </w:r>
      <w:r>
        <w:rPr>
          <w:rFonts w:eastAsia="Times New Roman"/>
          <w:color w:val="000000"/>
          <w:spacing w:val="-6"/>
          <w:sz w:val="28"/>
          <w:szCs w:val="28"/>
        </w:rPr>
        <w:t>содержащиеся в наименовании и (или) виде разрешенного использования, не позволяют определить наименование              и (или) вид разрешенного использования.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С момента внесения сведений в Единый государственный реестр недвижимости о наименовании и (или) в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иде разрешенного использования здания, сооружения или помещения арендная плата рассчитывается                      по каждому виду разрешенного использования пропорционально площади земельного участка предназначенной для соответствующего использования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                   из установленных договором видов разрешенного использования.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2.10. 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Освобождаются от уплаты арендной платы по договорам аренды земельных участков, находящихся в муниципальной собственности Партизанского муниципального округа, </w:t>
      </w:r>
      <w:r>
        <w:rPr>
          <w:rFonts w:eastAsia="Times New Roman"/>
          <w:color w:val="000000"/>
          <w:spacing w:val="-6"/>
          <w:sz w:val="28"/>
          <w:szCs w:val="28"/>
        </w:rPr>
        <w:t>предоставленных в аренду без проведения торгов граждане Российской Федерации, являющиеся членами семей ветеранов боевых действий удостоенных звания Героя Российской Федерации или награжденных орденами Российской Федерации за заслуги, проявленные в ходе уча</w:t>
      </w:r>
      <w:r>
        <w:rPr>
          <w:rFonts w:eastAsia="Times New Roman"/>
          <w:color w:val="000000"/>
          <w:spacing w:val="-6"/>
          <w:sz w:val="28"/>
          <w:szCs w:val="28"/>
        </w:rPr>
        <w:t>стия в специальной военной операции  из числа военнослужащих,  проходивших военную службу в Вооруженных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Силах Российской Федерации, лиц, проходивших военную службу в Вооруженных Силах Российской Федерации по контракту, лиц, заключивших контракт  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</w:t>
      </w:r>
      <w:r>
        <w:rPr>
          <w:rFonts w:eastAsia="Times New Roman"/>
          <w:color w:val="000000"/>
          <w:spacing w:val="-6"/>
          <w:sz w:val="28"/>
          <w:szCs w:val="28"/>
        </w:rPr>
        <w:t>Российской Федерации, имеющих специальные звания полиции, а также лиц,</w:t>
      </w:r>
      <w:proofErr w:type="gramEnd"/>
    </w:p>
    <w:p w:rsidR="009A6192" w:rsidRDefault="00DD6B0B">
      <w:pPr>
        <w:spacing w:line="302" w:lineRule="auto"/>
        <w:jc w:val="both"/>
        <w:rPr>
          <w:rFonts w:eastAsia="Times New Roman"/>
          <w:color w:val="000000"/>
          <w:spacing w:val="-6"/>
          <w:sz w:val="28"/>
          <w:szCs w:val="28"/>
        </w:rPr>
      </w:pP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призванных  на военную службу по мобилизации на основании Указа Президента Российской Федерации от 21.09.2022 № 647 «Об объявлении частичной мобилизации в Российской Федерации», погиб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ших (умерших) </w:t>
      </w:r>
      <w:r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вследствие увечья (ранения, травмы, контузии) или заболевания, полученных ими в ходе участия в специальной военной операции (далее - члены семьи) -           в отношении одного земельного участка, не используемого                   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в предпринимательской деятельности.</w:t>
      </w:r>
      <w:proofErr w:type="gramEnd"/>
    </w:p>
    <w:p w:rsidR="009A6192" w:rsidRDefault="00DD6B0B">
      <w:pPr>
        <w:tabs>
          <w:tab w:val="left" w:pos="1083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К членам семей, на которых распространяются указанные льготы, относятся:</w:t>
      </w:r>
    </w:p>
    <w:p w:rsidR="009A6192" w:rsidRDefault="00DD6B0B">
      <w:pPr>
        <w:tabs>
          <w:tab w:val="left" w:pos="1083"/>
        </w:tabs>
        <w:spacing w:line="36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- супруг (супруга), не вступивший (не вступившая) в повторный брак;</w:t>
      </w:r>
      <w:proofErr w:type="gramEnd"/>
    </w:p>
    <w:p w:rsidR="009A6192" w:rsidRDefault="00DD6B0B">
      <w:pPr>
        <w:tabs>
          <w:tab w:val="left" w:pos="1083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дети, не достигшие возраста 18 лет;</w:t>
      </w:r>
    </w:p>
    <w:p w:rsidR="009A6192" w:rsidRDefault="00DD6B0B">
      <w:pPr>
        <w:tabs>
          <w:tab w:val="left" w:pos="1083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дети старше 18 лет, ставшие </w:t>
      </w:r>
      <w:r>
        <w:rPr>
          <w:color w:val="000000"/>
          <w:sz w:val="28"/>
          <w:szCs w:val="28"/>
        </w:rPr>
        <w:t>инвалидами до достижения ими возраста 18 лет;</w:t>
      </w:r>
    </w:p>
    <w:p w:rsidR="009A6192" w:rsidRDefault="00DD6B0B">
      <w:pPr>
        <w:tabs>
          <w:tab w:val="left" w:pos="1083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дети в возрасте от 18 до 23 лет, обучающиеся в образовательных организациях по очной форме обучения (за исключением образовательных организаций, реализующих дополнительные образовательные программы).</w:t>
      </w:r>
    </w:p>
    <w:p w:rsidR="009A6192" w:rsidRDefault="00DD6B0B">
      <w:pPr>
        <w:spacing w:line="360" w:lineRule="auto"/>
        <w:ind w:firstLine="709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>- родите</w:t>
      </w:r>
      <w:r>
        <w:rPr>
          <w:rFonts w:eastAsia="Times New Roman"/>
          <w:color w:val="000000"/>
          <w:spacing w:val="-6"/>
          <w:sz w:val="28"/>
          <w:szCs w:val="28"/>
        </w:rPr>
        <w:t>ли, в случае, если указанный военнослужащий не состоял                 в браке, не имел детей или иных лиц, находившихся на его иждивении.</w:t>
      </w:r>
    </w:p>
    <w:p w:rsidR="009A6192" w:rsidRDefault="00DD6B0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 Порядок, условия и сроки</w:t>
      </w:r>
    </w:p>
    <w:p w:rsidR="009A6192" w:rsidRDefault="00DD6B0B">
      <w:pPr>
        <w:ind w:firstLine="709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внесения арендной платы за земельные участки</w:t>
      </w:r>
    </w:p>
    <w:p w:rsidR="009A6192" w:rsidRDefault="009A6192">
      <w:pPr>
        <w:spacing w:line="302" w:lineRule="auto"/>
        <w:ind w:firstLine="709"/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3.1. Арендная плата по договорам аренды зем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ельных участков исчисляется в размере годовой арендной платы и месячной арендной платы                   за каждый день использования,  вносится равными долями ежемесячно                не позднее 1-го числа месяца следующего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за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расчетным.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3.2. В случае за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ключения договора аренды земельного участка                         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множественностью лиц на стороне арендатора арендная плата для каждого  из них определяется пропорционально их доле в праве на арендованное имущество в соответствии с договором аренды з</w:t>
      </w:r>
      <w:r>
        <w:rPr>
          <w:rFonts w:eastAsia="Times New Roman"/>
          <w:color w:val="000000"/>
          <w:spacing w:val="-6"/>
          <w:sz w:val="28"/>
          <w:szCs w:val="28"/>
        </w:rPr>
        <w:t>емельного участка.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3.3. Арендная плата по договорам аренды земельных участков начисляется за период пользования земельным участком, начало которого определено сторонами в договоре аренды земельного участка. Датой поступления арендного платежа считается дат</w:t>
      </w:r>
      <w:r>
        <w:rPr>
          <w:rFonts w:eastAsia="Times New Roman"/>
          <w:color w:val="000000"/>
          <w:spacing w:val="-6"/>
          <w:sz w:val="28"/>
          <w:szCs w:val="28"/>
        </w:rPr>
        <w:t>а поступления его на счет Управления Федерального казначейства по Приморскому краю. Исполнением обязательств по внесению арендной платы является поступление денежных средств на счет арендодателя, реквизиты которого указаны в договоре аренды</w:t>
      </w:r>
    </w:p>
    <w:p w:rsidR="009A6192" w:rsidRDefault="00DD6B0B">
      <w:pPr>
        <w:spacing w:line="302" w:lineRule="auto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з</w:t>
      </w:r>
      <w:r>
        <w:rPr>
          <w:rFonts w:eastAsia="Times New Roman"/>
          <w:color w:val="000000"/>
          <w:spacing w:val="-6"/>
          <w:sz w:val="28"/>
          <w:szCs w:val="28"/>
        </w:rPr>
        <w:t>емельного уч</w:t>
      </w:r>
      <w:r>
        <w:rPr>
          <w:rFonts w:eastAsia="Times New Roman"/>
          <w:color w:val="000000"/>
          <w:spacing w:val="-6"/>
          <w:sz w:val="28"/>
          <w:szCs w:val="28"/>
        </w:rPr>
        <w:t>астка.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3.4. В платежном документе на перечисление арендной платы указываются назначения платежа, дата, номер договора аренды, период,               за который она вносится. Платежи считаются внесенными в счет арендной </w:t>
      </w:r>
      <w:r>
        <w:rPr>
          <w:rFonts w:eastAsia="Times New Roman"/>
          <w:color w:val="000000"/>
          <w:spacing w:val="-6"/>
          <w:sz w:val="28"/>
          <w:szCs w:val="28"/>
        </w:rPr>
        <w:lastRenderedPageBreak/>
        <w:t>платы за следующий период только после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погашения задолженности                       по платежам за предыдущий период.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3.5. В случае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не внесения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арендной платы в установленный договором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аренды земельного участка срок, арендатору начисляется пеня за каждый день просрочки. Пеня за каждый день пр</w:t>
      </w:r>
      <w:r>
        <w:rPr>
          <w:rFonts w:eastAsia="Times New Roman"/>
          <w:color w:val="000000"/>
          <w:spacing w:val="-6"/>
          <w:sz w:val="28"/>
          <w:szCs w:val="28"/>
        </w:rPr>
        <w:t>осрочки определяется  в процентах                      от неуплаченной суммы арендной платы. Процентная ставка пени принимается равной одной трехсотой действующему в это время значению ключевой ставки Центрального банка Российской Федерации.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3.6. Арендная </w:t>
      </w:r>
      <w:r>
        <w:rPr>
          <w:rFonts w:eastAsia="Times New Roman"/>
          <w:color w:val="000000"/>
          <w:spacing w:val="-6"/>
          <w:sz w:val="28"/>
          <w:szCs w:val="28"/>
        </w:rPr>
        <w:t>плата и начисление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3.7. Раз</w:t>
      </w:r>
      <w:r>
        <w:rPr>
          <w:rFonts w:eastAsia="Times New Roman"/>
          <w:color w:val="000000"/>
          <w:spacing w:val="-6"/>
          <w:sz w:val="28"/>
          <w:szCs w:val="28"/>
        </w:rPr>
        <w:t>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актов, изменяющих ставку арендной платы                 и (или) кадастровую стоимость земельного участка, явл</w:t>
      </w:r>
      <w:r>
        <w:rPr>
          <w:rFonts w:eastAsia="Times New Roman"/>
          <w:color w:val="000000"/>
          <w:spacing w:val="-6"/>
          <w:sz w:val="28"/>
          <w:szCs w:val="28"/>
        </w:rPr>
        <w:t>яющегося предметом договора аренды земельного участка, без заключения дополнительных соглашений к договору.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При этом кадастровая стоимость применяется при расчете арендной платы с учетом требований статьи 18 Федерального закона от 03.07.2016     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          № 237-ФЗ «О государственной кадастровой оценке».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3.8. По договорам аренды земельных участков, заключенным без применения корректирующего коэффициента (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>), для отдельных категорий арендаторов земельных участков, установленных Думой Партизанско</w:t>
      </w:r>
      <w:r>
        <w:rPr>
          <w:rFonts w:eastAsia="Times New Roman"/>
          <w:color w:val="000000"/>
          <w:spacing w:val="-6"/>
          <w:sz w:val="28"/>
          <w:szCs w:val="28"/>
        </w:rPr>
        <w:t>го муниципального округа, перерасчет ранее начисленной арендной платы с применением корректирующего коэффициента (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>) осуществляется со дня возникновения права на его применение. Период,              за который производится перерасчет ранее начисленной а</w:t>
      </w:r>
      <w:r>
        <w:rPr>
          <w:rFonts w:eastAsia="Times New Roman"/>
          <w:color w:val="000000"/>
          <w:spacing w:val="-6"/>
          <w:sz w:val="28"/>
          <w:szCs w:val="28"/>
        </w:rPr>
        <w:t>рендной платы              с применением корректирующего коэффициента (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Ккор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>), не может превышать один год со дня обращения за перерасчетом ранее начисленной арендной платы.</w:t>
      </w:r>
    </w:p>
    <w:p w:rsidR="009A6192" w:rsidRDefault="009A6192">
      <w:pPr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9A6192" w:rsidRDefault="00DD6B0B">
      <w:pPr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Заключительные положения</w:t>
      </w:r>
    </w:p>
    <w:p w:rsidR="009A6192" w:rsidRDefault="009A6192">
      <w:pPr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4.1. Признать утратившим силу муниципальные правовые </w:t>
      </w:r>
      <w:r>
        <w:rPr>
          <w:rFonts w:eastAsia="Times New Roman"/>
          <w:color w:val="000000"/>
          <w:spacing w:val="-6"/>
          <w:sz w:val="28"/>
          <w:szCs w:val="28"/>
        </w:rPr>
        <w:t>акты: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bookmarkStart w:id="1" w:name="_GoBack"/>
      <w:bookmarkEnd w:id="1"/>
      <w:r>
        <w:rPr>
          <w:rFonts w:eastAsia="Times New Roman"/>
          <w:color w:val="000000"/>
          <w:spacing w:val="-6"/>
          <w:sz w:val="28"/>
          <w:szCs w:val="28"/>
        </w:rPr>
        <w:t>- от 27 февраля 2015 года № 151-МПА «Об утверждении Порядка определения размера арендной платы за использование земельных участков, находящихся в муниципальной собственности Партизанского муниципального района и предоставляемых без проведения торг</w:t>
      </w:r>
      <w:r>
        <w:rPr>
          <w:rFonts w:eastAsia="Times New Roman"/>
          <w:color w:val="000000"/>
          <w:spacing w:val="-6"/>
          <w:sz w:val="28"/>
          <w:szCs w:val="28"/>
        </w:rPr>
        <w:t>ов»;</w:t>
      </w:r>
    </w:p>
    <w:p w:rsidR="009A6192" w:rsidRDefault="00DD6B0B">
      <w:pPr>
        <w:spacing w:line="302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- от 27 марта 2015 года № 164-МПА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О внесении изменений в </w:t>
      </w:r>
      <w:r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муниципальный правовой акт от </w:t>
      </w:r>
      <w:r>
        <w:rPr>
          <w:rFonts w:eastAsia="Times New Roman"/>
          <w:color w:val="000000"/>
          <w:spacing w:val="-6"/>
          <w:sz w:val="28"/>
          <w:szCs w:val="28"/>
        </w:rPr>
        <w:t>27 февраля 2015 года № 151-МПА «Об утверждении Порядка определения размера арендной платы за использование земельных участков, находящихся в муниципальной собственн</w:t>
      </w:r>
      <w:r>
        <w:rPr>
          <w:rFonts w:eastAsia="Times New Roman"/>
          <w:color w:val="000000"/>
          <w:spacing w:val="-6"/>
          <w:sz w:val="28"/>
          <w:szCs w:val="28"/>
        </w:rPr>
        <w:t>ости Партизанского муниципального района и предоставляемых без проведения торгов»</w:t>
      </w:r>
    </w:p>
    <w:p w:rsidR="009A6192" w:rsidRDefault="00DD6B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4.2. Настоящий муниципальный правовой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кт вст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упает в силу со дня его официального обнародования в газете «Золотая Долина».</w:t>
      </w:r>
    </w:p>
    <w:p w:rsidR="009A6192" w:rsidRDefault="009A6192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9A6192" w:rsidRDefault="009A6192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9A6192" w:rsidRDefault="009A6192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9A6192" w:rsidRDefault="009A6192">
      <w:pPr>
        <w:jc w:val="center"/>
        <w:rPr>
          <w:rFonts w:eastAsia="Times New Roman"/>
          <w:color w:val="000000"/>
          <w:spacing w:val="-6"/>
          <w:sz w:val="28"/>
          <w:szCs w:val="28"/>
        </w:rPr>
      </w:pPr>
    </w:p>
    <w:p w:rsidR="009A6192" w:rsidRDefault="00DD6B0B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И.о</w:t>
      </w:r>
      <w:proofErr w:type="spellEnd"/>
      <w:r>
        <w:rPr>
          <w:color w:val="000000"/>
          <w:spacing w:val="-5"/>
          <w:sz w:val="28"/>
          <w:szCs w:val="28"/>
        </w:rPr>
        <w:t>. главы Партизанского</w:t>
      </w:r>
    </w:p>
    <w:p w:rsidR="009A6192" w:rsidRDefault="00DD6B0B">
      <w:pPr>
        <w:shd w:val="clear" w:color="auto" w:fill="FFFFFF"/>
        <w:ind w:right="6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муниципального округа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В.Р.Сопатенко</w:t>
      </w:r>
      <w:proofErr w:type="spellEnd"/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DD6B0B">
      <w:pPr>
        <w:jc w:val="right"/>
        <w:rPr>
          <w:rFonts w:eastAsia="Times New Roman"/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9A6192">
        <w:tc>
          <w:tcPr>
            <w:tcW w:w="4785" w:type="dxa"/>
          </w:tcPr>
          <w:p w:rsidR="009A6192" w:rsidRDefault="009A6192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к Порядку определения размера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арендной платы за использование земельных участков, находящихся в муниципальной собственности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Партизанского муниципального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округа, предоставленных в аренду без проведения торгов,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принятого</w:t>
            </w:r>
            <w:proofErr w:type="gramEnd"/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решением Думы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Партизанского муниципального округа Приморского края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от ____ № _____</w:t>
            </w:r>
          </w:p>
        </w:tc>
      </w:tr>
    </w:tbl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DD6B0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функционального коэффициента, применяемого при расчете арендной плат</w:t>
      </w:r>
      <w:r>
        <w:rPr>
          <w:sz w:val="28"/>
          <w:szCs w:val="28"/>
        </w:rPr>
        <w:t>ы за земельные участки, находящиеся в муниципальной собственности Партизанского муниципального округа, предоставленных в аренду без проведения торгов</w:t>
      </w:r>
    </w:p>
    <w:p w:rsidR="009A6192" w:rsidRDefault="009A6192">
      <w:pPr>
        <w:rPr>
          <w:rFonts w:eastAsia="Times New Roman"/>
          <w:sz w:val="24"/>
          <w:szCs w:val="24"/>
        </w:rPr>
      </w:pPr>
    </w:p>
    <w:tbl>
      <w:tblPr>
        <w:tblW w:w="9428" w:type="dxa"/>
        <w:tblLayout w:type="fixed"/>
        <w:tblLook w:val="0620" w:firstRow="1" w:lastRow="0" w:firstColumn="0" w:lastColumn="0" w:noHBand="1" w:noVBand="1"/>
      </w:tblPr>
      <w:tblGrid>
        <w:gridCol w:w="1202"/>
        <w:gridCol w:w="3756"/>
        <w:gridCol w:w="828"/>
        <w:gridCol w:w="1154"/>
        <w:gridCol w:w="829"/>
        <w:gridCol w:w="835"/>
        <w:gridCol w:w="824"/>
      </w:tblGrid>
      <w:tr w:rsidR="009A6192">
        <w:trPr>
          <w:cantSplit/>
          <w:trHeight w:val="20"/>
          <w:tblHeader/>
        </w:trPr>
        <w:tc>
          <w:tcPr>
            <w:tcW w:w="1201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Код ВРИ</w:t>
            </w:r>
          </w:p>
        </w:tc>
        <w:tc>
          <w:tcPr>
            <w:tcW w:w="3756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Наименование ВРИ</w:t>
            </w:r>
          </w:p>
        </w:tc>
        <w:tc>
          <w:tcPr>
            <w:tcW w:w="828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Рассчитанный </w:t>
            </w: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</w:p>
        </w:tc>
        <w:tc>
          <w:tcPr>
            <w:tcW w:w="1154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с учетом социальной значимости вида деятельности</w:t>
            </w:r>
            <w:r>
              <w:rPr>
                <w:rStyle w:val="a8"/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, %</w:t>
            </w:r>
          </w:p>
        </w:tc>
        <w:tc>
          <w:tcPr>
            <w:tcW w:w="829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ит</w:t>
            </w: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ого</w:t>
            </w:r>
          </w:p>
        </w:tc>
        <w:tc>
          <w:tcPr>
            <w:tcW w:w="835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Кфи</w:t>
            </w:r>
            <w:proofErr w:type="spellEnd"/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 на период строительства объектов</w:t>
            </w:r>
          </w:p>
        </w:tc>
        <w:tc>
          <w:tcPr>
            <w:tcW w:w="824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Период строительства, мес.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Сельскохозяйственное использование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0,0231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0,0231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Растениеводство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0,0333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Овощеводство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тонизирующих, лекарственных, цветочных культур*</w:t>
            </w:r>
            <w:r>
              <w:rPr>
                <w:rStyle w:val="a8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Садоводство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Виноградарство*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Выращивание льна и конопли*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Животноводство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Скотоводство*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Звероводство*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Птицеводство*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Свиноводство*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Пчеловодство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Рыбоводство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0,0318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0,0318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0,0351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0,0351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0,0260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0,0260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0,0343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0,0343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Питомники*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0,0360</w:t>
            </w:r>
          </w:p>
        </w:tc>
        <w:tc>
          <w:tcPr>
            <w:tcW w:w="1154" w:type="dxa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Сенокошение</w:t>
            </w:r>
          </w:p>
        </w:tc>
        <w:tc>
          <w:tcPr>
            <w:tcW w:w="828" w:type="dxa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0,0304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0,0304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Жилая застройка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2.1-2.3,</w:t>
            </w:r>
          </w:p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2.5-2.7.1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2.1-2.3,</w:t>
            </w:r>
          </w:p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2.5-2.7.1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Для индивидуального</w:t>
            </w:r>
            <w:r>
              <w:rPr>
                <w:sz w:val="18"/>
                <w:szCs w:val="18"/>
                <w:lang w:eastAsia="en-US"/>
              </w:rPr>
              <w:t xml:space="preserve"> жилищного строительства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0,0030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0,0140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Блокированная жилая застройка*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Передвижное жилье*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Среднеэтажная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жилая застройка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0,0030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Многоэтажная жилая застройка (высотная застройка)*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жилой застройки*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2.7.2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0,0335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0,0335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3.1-3.10.2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3.1-3.10.2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3.1.1-3.1.2</w:t>
            </w: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3.1.1-3.1.2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Предоставление коммунальных услуг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Административные здания организаций, обеспечивающих предоставление коммунальных услуг*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Социальное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3.2.1-3.2.4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3.2.1-3.2.4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Дома социального </w:t>
            </w:r>
            <w:r>
              <w:rPr>
                <w:sz w:val="18"/>
                <w:szCs w:val="18"/>
                <w:lang w:eastAsia="en-US"/>
              </w:rPr>
              <w:t>обслуживания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Оказание социальной помощи населению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Оказание услуг связи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Общежития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0,0547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0,0547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3.4.1-3.4.3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3.4.1-3.4.3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Образование и просвещение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3.5.1-3.5.2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3.5.1-3.5.2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Культурное развитие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Парки культуры и отдыха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3.6.3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Цирки и зверинцы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Религиозное использование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3.7.1-3.7.2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3.7.1-3.7.2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Осуществление религиозных обрядов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3.7.2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Религиозное управление и </w:t>
            </w:r>
            <w:r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управление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3.8.1-3.8.2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3.8.1-3.8.2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Государственное управление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3.8.2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Представительская деятельность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научной деятельности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научных исследований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научных испытаний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Ветеринарное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3.10.1-3.10-2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3.10.1-3.10-2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Амбулаторное ветеринарное обслуживание*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3.10.2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Приюты для животных*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Предпринимательство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4.1-4.10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4.1-4.10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Деловое управление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Объекты торговли (торговые центры, </w:t>
            </w:r>
            <w:r>
              <w:rPr>
                <w:sz w:val="18"/>
                <w:szCs w:val="18"/>
                <w:lang w:eastAsia="en-US"/>
              </w:rPr>
              <w:t>торгово-развлекательные центры (комплексы)*</w:t>
            </w:r>
            <w:proofErr w:type="gramEnd"/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Рынки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Банковская и страховая деятельность*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0,0480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0,0673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Развлечение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4.8.1-4.8.3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4.8.1-4.8.3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Развлекательные мероприятия*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азартных игр*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4.8.3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Проведение азартных игр в игорных зонах</w:t>
            </w:r>
            <w:r>
              <w:rPr>
                <w:rStyle w:val="a8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Служебные гаражи*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4.9.1.1-4.9.1.4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4.9.1.1-4.9.1.4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Заправка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транспортных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средств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Обеспечение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дорожного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отдыха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Автомобильные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мойки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4.9.1.4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Ремонт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автомобилей</w:t>
            </w:r>
            <w:proofErr w:type="spellEnd"/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4.9.2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Стоянка транспортных средств*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Выставочно</w:t>
            </w:r>
            <w:proofErr w:type="spellEnd"/>
            <w:r>
              <w:rPr>
                <w:sz w:val="18"/>
                <w:szCs w:val="18"/>
                <w:lang w:eastAsia="en-US"/>
              </w:rPr>
              <w:t>-ярмарочная деятельность</w:t>
            </w:r>
            <w:r>
              <w:rPr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Отдых (рекреация)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спортивно-зрелищных мероприятий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Площадки для занятий спортом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Водный 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Авиационный 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5.1.7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Спортивные базы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Природно-познавательный туризм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0,0898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0,0898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Туристическое обслуживание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0,0569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Охота и рыбалка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0,0293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Причалы для маломерных судов*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0,0423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Поля для гольфа или конных прогулок*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Производственная деятельность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Недропользование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0,0311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0,0311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Тяжелая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Автомобилестроительная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Легкая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Фармацевтическая </w:t>
            </w:r>
            <w:r>
              <w:rPr>
                <w:sz w:val="18"/>
                <w:szCs w:val="18"/>
                <w:lang w:eastAsia="en-US"/>
              </w:rPr>
              <w:t>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Фарфоро</w:t>
            </w:r>
            <w:proofErr w:type="spellEnd"/>
            <w:r>
              <w:rPr>
                <w:sz w:val="18"/>
                <w:szCs w:val="18"/>
                <w:lang w:eastAsia="en-US"/>
              </w:rPr>
              <w:t>-фаянсовая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Электронная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6.3.4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Ювелирная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Пищевая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Нефтехимическая промышленность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Строительная промышленность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0,0396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0,0396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Энергетика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Атомная энергетика*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Связь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Склад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6.9.1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Складские площадки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0,0279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0,0279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космической деятельности*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Целлюлозно-бумажная промышленность*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Научно-производственная деятельность*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0,0560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0,0560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7.1-7.5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7.1-7.5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Железнодорожный транспорт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Железнодорожные пути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0,0253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0,0253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железнодорожных перевозок*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Автомобильный транспорт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0,1670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0,1670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Размещение автомобильных дорог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Обслуживание перевозок пассажиров*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7.2.3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Стоянки транспорта общего пользования*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0,0614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0,0614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Водный транспорт*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Воздушный транспорт*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Трубопроводный транспорт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Внеуличный транспорт*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обороны и безопасности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вооруженных сил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Охрана Государственной границы Российской </w:t>
            </w:r>
            <w:r>
              <w:rPr>
                <w:sz w:val="18"/>
                <w:szCs w:val="18"/>
                <w:lang w:eastAsia="en-US"/>
              </w:rPr>
              <w:t>Федерации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Охрана природных </w:t>
            </w:r>
            <w:r>
              <w:rPr>
                <w:sz w:val="18"/>
                <w:szCs w:val="18"/>
                <w:lang w:eastAsia="en-US"/>
              </w:rPr>
              <w:t>территорий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9.1.1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Курортная деятельность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Санаторная деятельность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24" w:type="dxa"/>
          </w:tcPr>
          <w:p w:rsidR="009A6192" w:rsidRDefault="00DD6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Историко-культурная деятельность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 лесов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Заготовка древесины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Лесные плантации*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Заготовка лесных ресурсов*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Резервные леса*</w:t>
            </w:r>
          </w:p>
        </w:tc>
        <w:tc>
          <w:tcPr>
            <w:tcW w:w="828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  <w:r>
              <w:rPr>
                <w:rFonts w:eastAsia="Times New Roman"/>
                <w:color w:val="C00000"/>
                <w:sz w:val="18"/>
                <w:szCs w:val="18"/>
              </w:rPr>
              <w:t>0,0150</w:t>
            </w: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Водные объекты*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Общее пользование водными объектами*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Гидротехнические сооружения*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756" w:type="dxa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Земельные участки </w:t>
            </w:r>
            <w:r>
              <w:rPr>
                <w:rFonts w:eastAsia="Times New Roman"/>
                <w:sz w:val="18"/>
                <w:szCs w:val="18"/>
              </w:rPr>
              <w:t>(территории) общего пользования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12.0.1-12.0.2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Улично-дорожная сеть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0,0285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0,0285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12.0.2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Ритуальная деятельность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0,0350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Специальная деятельность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0,0807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0,0807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Запас*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общего назначения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огородничества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0,0070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0,0070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Ведение садоводства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0,0187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0,0187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A6192">
        <w:trPr>
          <w:trHeight w:val="20"/>
        </w:trPr>
        <w:tc>
          <w:tcPr>
            <w:tcW w:w="1201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756" w:type="dxa"/>
            <w:vAlign w:val="bottom"/>
          </w:tcPr>
          <w:p w:rsidR="009A6192" w:rsidRDefault="00DD6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Земельные участки, входящие в состав общего имущества собственников индивидуальных </w:t>
            </w:r>
            <w:r>
              <w:rPr>
                <w:sz w:val="18"/>
                <w:szCs w:val="18"/>
                <w:lang w:eastAsia="en-US"/>
              </w:rPr>
              <w:t>жилых домов в малоэтажном жилом комплексе*</w:t>
            </w:r>
          </w:p>
        </w:tc>
        <w:tc>
          <w:tcPr>
            <w:tcW w:w="828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0,0130</w:t>
            </w:r>
          </w:p>
        </w:tc>
        <w:tc>
          <w:tcPr>
            <w:tcW w:w="115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C00000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A6192" w:rsidRDefault="00DD6B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0,0130</w:t>
            </w:r>
          </w:p>
        </w:tc>
        <w:tc>
          <w:tcPr>
            <w:tcW w:w="835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A6192" w:rsidRDefault="009A619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DD6B0B">
      <w:pPr>
        <w:jc w:val="right"/>
        <w:rPr>
          <w:rFonts w:eastAsia="Times New Roman"/>
          <w:sz w:val="24"/>
          <w:szCs w:val="24"/>
        </w:rPr>
      </w:pPr>
      <w:r>
        <w:br w:type="page"/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9A6192">
        <w:tc>
          <w:tcPr>
            <w:tcW w:w="4785" w:type="dxa"/>
          </w:tcPr>
          <w:p w:rsidR="009A6192" w:rsidRDefault="009A6192">
            <w:pPr>
              <w:pStyle w:val="ConsPlusNormal"/>
              <w:pageBreakBefore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к Порядку определения размера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арендной платы за использование земельных участков, находящихся в муниципальной собственности Партизанского </w:t>
            </w: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округа, предоставленных в аренду без проведения торгов,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принятого</w:t>
            </w:r>
            <w:proofErr w:type="gramEnd"/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 xml:space="preserve"> решением Думы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Партизанского муниципального округа Приморского края</w:t>
            </w:r>
          </w:p>
          <w:p w:rsidR="009A6192" w:rsidRDefault="00DD6B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sz w:val="28"/>
                <w:szCs w:val="28"/>
                <w:lang w:eastAsia="ru-RU"/>
              </w:rPr>
              <w:t>от ____ № _____</w:t>
            </w:r>
          </w:p>
        </w:tc>
      </w:tr>
    </w:tbl>
    <w:p w:rsidR="009A6192" w:rsidRDefault="009A6192">
      <w:pPr>
        <w:jc w:val="right"/>
        <w:rPr>
          <w:rFonts w:eastAsia="Times New Roman"/>
          <w:sz w:val="24"/>
          <w:szCs w:val="24"/>
        </w:rPr>
      </w:pPr>
    </w:p>
    <w:p w:rsidR="009A6192" w:rsidRDefault="00DD6B0B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Размеры корректирующего коэффициента, применяемого при расчете арендной платы за земельные</w:t>
      </w:r>
      <w:r>
        <w:rPr>
          <w:rFonts w:eastAsia="Times New Roman"/>
          <w:sz w:val="28"/>
          <w:szCs w:val="28"/>
        </w:rPr>
        <w:t xml:space="preserve"> участки, находящиеся в муниципальной собственности Партизанского муниципального округа, </w:t>
      </w:r>
    </w:p>
    <w:p w:rsidR="009A6192" w:rsidRDefault="00DD6B0B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предоставленных в аренду без проведения торгов</w:t>
      </w:r>
    </w:p>
    <w:p w:rsidR="009A6192" w:rsidRDefault="009A6192">
      <w:pPr>
        <w:jc w:val="center"/>
        <w:rPr>
          <w:rFonts w:eastAsia="Times New Roman"/>
        </w:rPr>
      </w:pPr>
    </w:p>
    <w:p w:rsidR="009A6192" w:rsidRDefault="009A6192">
      <w:pPr>
        <w:rPr>
          <w:rFonts w:eastAsia="Times New Roman"/>
        </w:rPr>
      </w:pPr>
    </w:p>
    <w:tbl>
      <w:tblPr>
        <w:tblW w:w="9352" w:type="dxa"/>
        <w:tblLayout w:type="fixed"/>
        <w:tblLook w:val="0620" w:firstRow="1" w:lastRow="0" w:firstColumn="0" w:lastColumn="0" w:noHBand="1" w:noVBand="1"/>
      </w:tblPr>
      <w:tblGrid>
        <w:gridCol w:w="7650"/>
        <w:gridCol w:w="1702"/>
      </w:tblGrid>
      <w:tr w:rsidR="009A6192">
        <w:trPr>
          <w:tblHeader/>
        </w:trPr>
        <w:tc>
          <w:tcPr>
            <w:tcW w:w="7649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Наименование категории</w:t>
            </w:r>
          </w:p>
        </w:tc>
        <w:tc>
          <w:tcPr>
            <w:tcW w:w="1702" w:type="dxa"/>
            <w:tcBorders>
              <w:top w:val="single" w:sz="4" w:space="0" w:color="E97132"/>
              <w:left w:val="single" w:sz="4" w:space="0" w:color="E97132"/>
              <w:bottom w:val="single" w:sz="4" w:space="0" w:color="E97132"/>
              <w:right w:val="single" w:sz="4" w:space="0" w:color="E97132"/>
            </w:tcBorders>
            <w:shd w:val="clear" w:color="auto" w:fill="C0504D" w:themeFill="accent2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 xml:space="preserve">Значение </w:t>
            </w: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Ккор</w:t>
            </w:r>
            <w:proofErr w:type="spellEnd"/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Организации и (или) физические лица, являющиеся индивидуальными </w:t>
            </w:r>
            <w:r>
              <w:rPr>
                <w:sz w:val="18"/>
                <w:szCs w:val="18"/>
                <w:lang w:eastAsia="en-US"/>
              </w:rPr>
              <w:t>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Владивосток», в течение первых пяти лет со дня получения ими статуса резидента свободного порта Владивосто</w:t>
            </w:r>
            <w:r>
              <w:rPr>
                <w:sz w:val="18"/>
                <w:szCs w:val="18"/>
                <w:lang w:eastAsia="en-US"/>
              </w:rPr>
              <w:t>к, начиная с 1-го числа месяца, следующего за месяцем, в котором ими был получен такой статус, в отношении земельных участков, используемых ими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для осуществления предпринимательской деятельности</w:t>
            </w:r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Организации и (или) физические лица, являющиеся индивиду</w:t>
            </w:r>
            <w:r>
              <w:rPr>
                <w:sz w:val="18"/>
                <w:szCs w:val="18"/>
                <w:lang w:eastAsia="en-US"/>
              </w:rPr>
              <w:t>альными 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Владивосток», в течение последующих пяти лет с месяца, в котором прекратил действие корректирующий</w:t>
            </w:r>
            <w:r>
              <w:rPr>
                <w:sz w:val="18"/>
                <w:szCs w:val="18"/>
                <w:lang w:eastAsia="en-US"/>
              </w:rPr>
              <w:t xml:space="preserve"> коэффициент, установленный подпунктом 1) настоящего пункта в отношении земельных участков, используемых ими для осуществления предпринимательской деятельности</w:t>
            </w:r>
            <w:proofErr w:type="gramEnd"/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Организации и (или) физические лица, являющиеся индивидуальными предпринимателями, признанн</w:t>
            </w:r>
            <w:r>
              <w:rPr>
                <w:sz w:val="18"/>
                <w:szCs w:val="18"/>
                <w:lang w:eastAsia="en-US"/>
              </w:rPr>
              <w:t>ые резидентами территории опережающего социально-экономического развития в соответствии с Федеральным законом от 29.12.2014 № 473-ФЗ «О территориях опережающего социально-экономического развития в Российской Федерации» в течение первых трех лет со дня полу</w:t>
            </w:r>
            <w:r>
              <w:rPr>
                <w:sz w:val="18"/>
                <w:szCs w:val="18"/>
                <w:lang w:eastAsia="en-US"/>
              </w:rPr>
              <w:t>чения ими статуса резидента территории опережающего социально-экономического развития, начиная с 1-го числа месяца, следующего за месяцем, в котором ими был получен такой статус</w:t>
            </w:r>
            <w:proofErr w:type="gramEnd"/>
            <w:r>
              <w:rPr>
                <w:sz w:val="18"/>
                <w:szCs w:val="18"/>
                <w:lang w:eastAsia="en-US"/>
              </w:rPr>
              <w:t>, в отношении земельных участков, используемых ими для осуществления предприним</w:t>
            </w:r>
            <w:r>
              <w:rPr>
                <w:sz w:val="18"/>
                <w:szCs w:val="18"/>
                <w:lang w:eastAsia="en-US"/>
              </w:rPr>
              <w:t>ательской деятельности</w:t>
            </w:r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Социально ориентированные некоммерческие организации в отношении земельных участков, используемых для осуществления видов деятельности, предусмотренных актом от 12.12.2014 № 115-МПА «Положение об оказании поддержки социально ори</w:t>
            </w:r>
            <w:r>
              <w:rPr>
                <w:sz w:val="18"/>
                <w:szCs w:val="18"/>
                <w:lang w:eastAsia="en-US"/>
              </w:rPr>
              <w:t>ентированным некоммерческим организациям в Партизанском муниципальном районе»</w:t>
            </w:r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Многодетные семьи, признанные таковыми в соответствии с законодательством Приморского края – в отношении одного земельного участка</w:t>
            </w:r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9A6192">
        <w:tc>
          <w:tcPr>
            <w:tcW w:w="7649" w:type="dxa"/>
          </w:tcPr>
          <w:p w:rsidR="009A6192" w:rsidRDefault="00DD6B0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остальные категории</w:t>
            </w:r>
          </w:p>
        </w:tc>
        <w:tc>
          <w:tcPr>
            <w:tcW w:w="1702" w:type="dxa"/>
            <w:vAlign w:val="center"/>
          </w:tcPr>
          <w:p w:rsidR="009A6192" w:rsidRDefault="00DD6B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9A6192" w:rsidRDefault="009A6192">
      <w:pPr>
        <w:jc w:val="center"/>
        <w:rPr>
          <w:rFonts w:eastAsia="Times New Roman"/>
        </w:rPr>
      </w:pPr>
    </w:p>
    <w:sectPr w:rsidR="009A6192">
      <w:pgSz w:w="11906" w:h="16838"/>
      <w:pgMar w:top="284" w:right="1134" w:bottom="283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0B" w:rsidRDefault="00DD6B0B">
      <w:r>
        <w:separator/>
      </w:r>
    </w:p>
  </w:endnote>
  <w:endnote w:type="continuationSeparator" w:id="0">
    <w:p w:rsidR="00DD6B0B" w:rsidRDefault="00DD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Han Sans CN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0B" w:rsidRDefault="00DD6B0B">
      <w:pPr>
        <w:rPr>
          <w:sz w:val="12"/>
        </w:rPr>
      </w:pPr>
      <w:r>
        <w:separator/>
      </w:r>
    </w:p>
  </w:footnote>
  <w:footnote w:type="continuationSeparator" w:id="0">
    <w:p w:rsidR="00DD6B0B" w:rsidRDefault="00DD6B0B">
      <w:pPr>
        <w:rPr>
          <w:sz w:val="12"/>
        </w:rPr>
      </w:pPr>
      <w:r>
        <w:continuationSeparator/>
      </w:r>
    </w:p>
  </w:footnote>
  <w:footnote w:id="1">
    <w:p w:rsidR="009A6192" w:rsidRDefault="00DD6B0B">
      <w:pPr>
        <w:pStyle w:val="af5"/>
      </w:pPr>
      <w:r>
        <w:rPr>
          <w:rStyle w:val="a7"/>
        </w:rPr>
        <w:footnoteRef/>
      </w:r>
      <w:r>
        <w:tab/>
        <w:t xml:space="preserve"> </w:t>
      </w:r>
      <w:proofErr w:type="gramStart"/>
      <w:r>
        <w:t>Равна</w:t>
      </w:r>
      <w:proofErr w:type="gramEnd"/>
      <w:r>
        <w:t xml:space="preserve"> ставке земельного налога по данной группе земельных участков</w:t>
      </w:r>
    </w:p>
  </w:footnote>
  <w:footnote w:id="2">
    <w:p w:rsidR="009A6192" w:rsidRDefault="00DD6B0B">
      <w:pPr>
        <w:pStyle w:val="af5"/>
      </w:pPr>
      <w:r>
        <w:rPr>
          <w:rStyle w:val="a7"/>
        </w:rPr>
        <w:footnoteRef/>
      </w:r>
      <w:r>
        <w:tab/>
        <w:t xml:space="preserve"> Здесь и далее по причине отсутствия фактических данных о заключенных договорах аренды расчет проводится по </w:t>
      </w:r>
      <w:r>
        <w:t xml:space="preserve">аналогии с ВРИ, </w:t>
      </w:r>
      <w:proofErr w:type="gramStart"/>
      <w:r>
        <w:t>имеющими</w:t>
      </w:r>
      <w:proofErr w:type="gramEnd"/>
      <w:r>
        <w:t xml:space="preserve"> схожее содержание и уровень рентабельности</w:t>
      </w:r>
    </w:p>
  </w:footnote>
  <w:footnote w:id="3">
    <w:p w:rsidR="009A6192" w:rsidRDefault="00DD6B0B">
      <w:pPr>
        <w:pStyle w:val="af5"/>
      </w:pPr>
      <w:r>
        <w:rPr>
          <w:rStyle w:val="a7"/>
        </w:rPr>
        <w:footnoteRef/>
      </w:r>
      <w:r>
        <w:tab/>
        <w:t xml:space="preserve"> На территории ПМО не созданы игорные зоны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92"/>
    <w:rsid w:val="009A6192"/>
    <w:rsid w:val="00DD6B0B"/>
    <w:rsid w:val="00F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1191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f1">
    <w:name w:val="No Spacing"/>
    <w:uiPriority w:val="99"/>
    <w:qFormat/>
    <w:rsid w:val="00135440"/>
    <w:rPr>
      <w:rFonts w:cs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811912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2A6761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Pr>
      <w:rFonts w:ascii="Arial" w:eastAsia="Arial" w:hAnsi="Arial" w:cs="Courier New"/>
      <w:sz w:val="16"/>
      <w:szCs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footnote text"/>
    <w:basedOn w:val="a"/>
    <w:pPr>
      <w:suppressLineNumbers/>
      <w:ind w:left="340" w:hanging="340"/>
    </w:p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14</Pages>
  <Words>4640</Words>
  <Characters>26453</Characters>
  <Application>Microsoft Office Word</Application>
  <DocSecurity>0</DocSecurity>
  <Lines>220</Lines>
  <Paragraphs>62</Paragraphs>
  <ScaleCrop>false</ScaleCrop>
  <Company/>
  <LinksUpToDate>false</LinksUpToDate>
  <CharactersWithSpaces>31031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Иван Владимирович</dc:creator>
  <dc:description/>
  <cp:lastModifiedBy>Revenko</cp:lastModifiedBy>
  <cp:revision>62</cp:revision>
  <cp:lastPrinted>2025-04-21T14:34:00Z</cp:lastPrinted>
  <dcterms:created xsi:type="dcterms:W3CDTF">2021-08-18T07:13:00Z</dcterms:created>
  <dcterms:modified xsi:type="dcterms:W3CDTF">2025-05-20T04:59:00Z</dcterms:modified>
  <dc:language>ru-RU</dc:language>
</cp:coreProperties>
</file>