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1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>Что такое «налог на профессиональный доход»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 w:firstLine="567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Налог на профессиональный доход — это новый специальный налоговый режим для самозанятых граждан, который можно применять с 2019 года. Действовать этот режим будет в течение 10 лет.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 w:firstLine="567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 w:firstLine="567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 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 w:firstLine="567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Физические лица и индивидуальные предприниматели, которые переходят на новый специальный налоговый режим (самозанятые),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 </w:t>
      </w:r>
    </w:p>
    <w:p w:rsidR="00C015D3" w:rsidRPr="00C015D3" w:rsidRDefault="00C015D3" w:rsidP="00C015D3">
      <w:pPr>
        <w:shd w:val="clear" w:color="auto" w:fill="FFFFFF"/>
        <w:spacing w:after="0" w:line="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Нет отчетов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и деклараций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Декларацию представлять не нужно. Учет доходов ведется автоматически в мобильном приложении.</w:t>
      </w: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Чек формируется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в приложении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Не надо покупать ККТ. Чек можно сформировать в мобильном приложении «Мой налог».</w:t>
      </w: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Можно не платить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страховые взносы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C015D3" w:rsidRPr="00C015D3" w:rsidRDefault="00C015D3" w:rsidP="00C015D3">
      <w:pPr>
        <w:shd w:val="clear" w:color="auto" w:fill="FFFFFF"/>
        <w:spacing w:after="0" w:line="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Легальная работа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без статуса ИП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jc w:val="both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Можно работать без регистрации в качестве ИП. Доход подтверждается справкой из приложения. </w:t>
      </w: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Предоставляется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налоговый вычет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Сумма вычета — 10 000 рублей.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 xml:space="preserve">Ставка 4% уменьшается до 3%,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 xml:space="preserve">ставка 6% уменьшается до 4%.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 xml:space="preserve">Расчет автоматический. </w:t>
      </w: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Не нужно считать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налог к уплате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Налог начисляется автоматически в приложении.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 xml:space="preserve">Уплата — не позднее 25 числа следующего месяца. </w:t>
      </w:r>
    </w:p>
    <w:p w:rsidR="00C015D3" w:rsidRPr="00C015D3" w:rsidRDefault="00C015D3" w:rsidP="00C015D3">
      <w:pPr>
        <w:shd w:val="clear" w:color="auto" w:fill="FFFFFF"/>
        <w:spacing w:after="0" w:line="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Выгодные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налоговые ставки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4% — с доходов от физ</w:t>
      </w:r>
      <w:r>
        <w:rPr>
          <w:rFonts w:eastAsia="Times New Roman"/>
          <w:color w:val="405965"/>
          <w:sz w:val="24"/>
          <w:szCs w:val="24"/>
          <w:lang w:eastAsia="ru-RU"/>
        </w:rPr>
        <w:t xml:space="preserve">ических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лиц.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>6% — с доходов от юр</w:t>
      </w:r>
      <w:r>
        <w:rPr>
          <w:rFonts w:eastAsia="Times New Roman"/>
          <w:color w:val="405965"/>
          <w:sz w:val="24"/>
          <w:szCs w:val="24"/>
          <w:lang w:eastAsia="ru-RU"/>
        </w:rPr>
        <w:t xml:space="preserve">идических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t>лиц и </w:t>
      </w:r>
      <w:r>
        <w:rPr>
          <w:rFonts w:eastAsia="Times New Roman"/>
          <w:color w:val="405965"/>
          <w:sz w:val="24"/>
          <w:szCs w:val="24"/>
          <w:lang w:eastAsia="ru-RU"/>
        </w:rPr>
        <w:t>индивидуальных предпринимателей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. Других обязательных платежей нет. </w:t>
      </w:r>
    </w:p>
    <w:p w:rsid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lastRenderedPageBreak/>
        <w:t xml:space="preserve">Простая регистрация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через интернет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  <w:r w:rsidRPr="00C015D3">
        <w:rPr>
          <w:rFonts w:eastAsia="Times New Roman"/>
          <w:color w:val="405965"/>
          <w:sz w:val="24"/>
          <w:szCs w:val="24"/>
          <w:lang w:eastAsia="ru-RU"/>
        </w:rPr>
        <w:t>Регистрация без визита в инспекцию: в мобильном приложении, на сайте ФНС</w:t>
      </w:r>
      <w:r w:rsidR="00ED03F9">
        <w:rPr>
          <w:rFonts w:eastAsia="Times New Roman"/>
          <w:color w:val="405965"/>
          <w:sz w:val="24"/>
          <w:szCs w:val="24"/>
          <w:lang w:eastAsia="ru-RU"/>
        </w:rPr>
        <w:t xml:space="preserve"> России, через банк </w:t>
      </w:r>
      <w:r>
        <w:rPr>
          <w:rFonts w:eastAsia="Times New Roman"/>
          <w:color w:val="405965"/>
          <w:sz w:val="24"/>
          <w:szCs w:val="24"/>
          <w:lang w:eastAsia="ru-RU"/>
        </w:rPr>
        <w:t>или портал Г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осуслуг. </w:t>
      </w:r>
    </w:p>
    <w:p w:rsidR="00C015D3" w:rsidRPr="00C015D3" w:rsidRDefault="00C015D3" w:rsidP="00C015D3">
      <w:pPr>
        <w:shd w:val="clear" w:color="auto" w:fill="FFFFFF"/>
        <w:spacing w:after="0" w:line="240" w:lineRule="auto"/>
        <w:ind w:left="-1134"/>
        <w:jc w:val="center"/>
        <w:outlineLvl w:val="2"/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</w:pP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t xml:space="preserve">Совмещение с работой </w:t>
      </w:r>
      <w:r w:rsidRPr="00C015D3">
        <w:rPr>
          <w:rFonts w:eastAsia="Times New Roman"/>
          <w:b/>
          <w:bCs/>
          <w:caps/>
          <w:color w:val="005CAA"/>
          <w:sz w:val="24"/>
          <w:szCs w:val="24"/>
          <w:lang w:eastAsia="ru-RU"/>
        </w:rPr>
        <w:br/>
        <w:t>по трудовому договору</w:t>
      </w:r>
    </w:p>
    <w:p w:rsidR="00C015D3" w:rsidRPr="00C015D3" w:rsidRDefault="00C015D3" w:rsidP="00C015D3">
      <w:pPr>
        <w:shd w:val="clear" w:color="auto" w:fill="FFFFFF"/>
        <w:spacing w:after="100" w:afterAutospacing="1" w:line="240" w:lineRule="auto"/>
        <w:ind w:left="-1134"/>
        <w:rPr>
          <w:rFonts w:eastAsia="Times New Roman"/>
          <w:color w:val="405965"/>
          <w:sz w:val="24"/>
          <w:szCs w:val="24"/>
          <w:lang w:eastAsia="ru-RU"/>
        </w:rPr>
      </w:pPr>
      <w:r>
        <w:rPr>
          <w:rFonts w:eastAsia="Times New Roman"/>
          <w:color w:val="405965"/>
          <w:sz w:val="24"/>
          <w:szCs w:val="24"/>
          <w:lang w:eastAsia="ru-RU"/>
        </w:rPr>
        <w:t xml:space="preserve">Зарплата не учитывается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t xml:space="preserve">при расчете налога. </w:t>
      </w:r>
      <w:r w:rsidRPr="00C015D3">
        <w:rPr>
          <w:rFonts w:eastAsia="Times New Roman"/>
          <w:color w:val="405965"/>
          <w:sz w:val="24"/>
          <w:szCs w:val="24"/>
          <w:lang w:eastAsia="ru-RU"/>
        </w:rPr>
        <w:br/>
        <w:t xml:space="preserve">Трудовой стаж по месту работы не прерывается. </w:t>
      </w:r>
    </w:p>
    <w:p w:rsidR="008C16BE" w:rsidRPr="00C015D3" w:rsidRDefault="008C16BE" w:rsidP="00C015D3">
      <w:pPr>
        <w:ind w:left="-1134"/>
        <w:rPr>
          <w:sz w:val="24"/>
          <w:szCs w:val="24"/>
        </w:rPr>
      </w:pPr>
    </w:p>
    <w:sectPr w:rsidR="008C16BE" w:rsidRPr="00C015D3" w:rsidSect="00C015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15D3"/>
    <w:rsid w:val="00291E46"/>
    <w:rsid w:val="003E1263"/>
    <w:rsid w:val="008C16BE"/>
    <w:rsid w:val="00AA6659"/>
    <w:rsid w:val="00C015D3"/>
    <w:rsid w:val="00ED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2">
    <w:name w:val="heading 2"/>
    <w:basedOn w:val="a"/>
    <w:link w:val="20"/>
    <w:uiPriority w:val="9"/>
    <w:qFormat/>
    <w:rsid w:val="00C015D3"/>
    <w:pPr>
      <w:spacing w:after="0" w:line="240" w:lineRule="auto"/>
      <w:outlineLvl w:val="1"/>
    </w:pPr>
    <w:rPr>
      <w:rFonts w:ascii="Conv_PFDINTEXTCONDPRO-BOLD" w:eastAsia="Times New Roman" w:hAnsi="Conv_PFDINTEXTCONDPRO-BOLD" w:cs="Arial"/>
      <w:b/>
      <w:bCs/>
      <w:caps/>
      <w:color w:val="005CAA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C015D3"/>
    <w:pPr>
      <w:spacing w:after="0" w:line="240" w:lineRule="auto"/>
      <w:outlineLvl w:val="2"/>
    </w:pPr>
    <w:rPr>
      <w:rFonts w:ascii="Conv_PFDINTEXTCONDPRO-BOLD" w:eastAsia="Times New Roman" w:hAnsi="Conv_PFDINTEXTCONDPRO-BOLD" w:cs="Arial"/>
      <w:b/>
      <w:bCs/>
      <w:caps/>
      <w:color w:val="005CAA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15D3"/>
    <w:rPr>
      <w:rFonts w:ascii="Conv_PFDINTEXTCONDPRO-BOLD" w:eastAsia="Times New Roman" w:hAnsi="Conv_PFDINTEXTCONDPRO-BOLD" w:cs="Arial"/>
      <w:b/>
      <w:bCs/>
      <w:caps/>
      <w:color w:val="005CAA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15D3"/>
    <w:rPr>
      <w:rFonts w:ascii="Conv_PFDINTEXTCONDPRO-BOLD" w:eastAsia="Times New Roman" w:hAnsi="Conv_PFDINTEXTCONDPRO-BOLD" w:cs="Arial"/>
      <w:b/>
      <w:bCs/>
      <w:caps/>
      <w:color w:val="005CAA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C015D3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8742">
                      <w:marLeft w:val="0"/>
                      <w:marRight w:val="4"/>
                      <w:marTop w:val="0"/>
                      <w:marBottom w:val="5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865068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7296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185156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031647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2691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3442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06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35265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7033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565163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09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97471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455517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3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9167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071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595967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90824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499487">
                          <w:marLeft w:val="0"/>
                          <w:marRight w:val="4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8704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4</cp:revision>
  <cp:lastPrinted>2021-05-28T06:36:00Z</cp:lastPrinted>
  <dcterms:created xsi:type="dcterms:W3CDTF">2021-05-28T06:33:00Z</dcterms:created>
  <dcterms:modified xsi:type="dcterms:W3CDTF">2021-05-28T06:36:00Z</dcterms:modified>
</cp:coreProperties>
</file>