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03" w:rsidRPr="00FD3B03" w:rsidRDefault="00FD3B03" w:rsidP="00FD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3B03">
        <w:rPr>
          <w:rFonts w:ascii="Times New Roman" w:hAnsi="Times New Roman" w:cs="Times New Roman"/>
          <w:b/>
          <w:bCs/>
        </w:rPr>
        <w:t>О НАЛОГОВОЙ ДЕКЛАРАЦИИ ПО НАЛОГУ НА ПРИБЫЛЬ ОРГАНИЗАЦИЙ</w:t>
      </w:r>
    </w:p>
    <w:p w:rsidR="00FD3B03" w:rsidRPr="00FD3B03" w:rsidRDefault="00FD3B03" w:rsidP="00FD3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D3B03" w:rsidRPr="00FD3B03" w:rsidRDefault="00FD3B03" w:rsidP="00FD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B03">
        <w:rPr>
          <w:rFonts w:ascii="Times New Roman" w:hAnsi="Times New Roman" w:cs="Times New Roman"/>
          <w:sz w:val="26"/>
          <w:szCs w:val="26"/>
        </w:rPr>
        <w:t>П</w:t>
      </w:r>
      <w:r w:rsidRPr="00FD3B03">
        <w:rPr>
          <w:rFonts w:ascii="Times New Roman" w:hAnsi="Times New Roman" w:cs="Times New Roman"/>
          <w:sz w:val="26"/>
          <w:szCs w:val="26"/>
        </w:rPr>
        <w:t xml:space="preserve">риказом ФНС России от 26 ноября 2014 года N ММВ-7-3/600@ (далее - Приказ N ММВ-7-3/600@) утверждены </w:t>
      </w:r>
      <w:hyperlink r:id="rId5" w:history="1">
        <w:r w:rsidRPr="00FD3B03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FD3B03">
        <w:rPr>
          <w:rFonts w:ascii="Times New Roman" w:hAnsi="Times New Roman" w:cs="Times New Roman"/>
          <w:sz w:val="26"/>
          <w:szCs w:val="26"/>
        </w:rPr>
        <w:t xml:space="preserve"> налоговой декларации по налогу на прибыль организаций, </w:t>
      </w:r>
      <w:hyperlink r:id="rId6" w:history="1">
        <w:r w:rsidRPr="00FD3B03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FD3B03">
        <w:rPr>
          <w:rFonts w:ascii="Times New Roman" w:hAnsi="Times New Roman" w:cs="Times New Roman"/>
          <w:sz w:val="26"/>
          <w:szCs w:val="26"/>
        </w:rPr>
        <w:t xml:space="preserve"> ее заполнения, а также </w:t>
      </w:r>
      <w:hyperlink r:id="rId7" w:history="1">
        <w:r w:rsidRPr="00FD3B03">
          <w:rPr>
            <w:rFonts w:ascii="Times New Roman" w:hAnsi="Times New Roman" w:cs="Times New Roman"/>
            <w:color w:val="0000FF"/>
            <w:sz w:val="26"/>
            <w:szCs w:val="26"/>
          </w:rPr>
          <w:t>формат</w:t>
        </w:r>
      </w:hyperlink>
      <w:r w:rsidRPr="00FD3B03">
        <w:rPr>
          <w:rFonts w:ascii="Times New Roman" w:hAnsi="Times New Roman" w:cs="Times New Roman"/>
          <w:sz w:val="26"/>
          <w:szCs w:val="26"/>
        </w:rPr>
        <w:t xml:space="preserve"> представления налоговой декларации по налогу на прибыль организаций в электронной форме.</w:t>
      </w:r>
    </w:p>
    <w:p w:rsidR="00FD3B03" w:rsidRPr="00FD3B03" w:rsidRDefault="00FD3B03" w:rsidP="00FD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FD3B03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FD3B03">
        <w:rPr>
          <w:rFonts w:ascii="Times New Roman" w:hAnsi="Times New Roman" w:cs="Times New Roman"/>
          <w:sz w:val="26"/>
          <w:szCs w:val="26"/>
        </w:rPr>
        <w:t xml:space="preserve"> N ММВ-7-3/600@ зарегистрирован в Минюсте России 17 декабря 2014 года (регистрационный номер 35255) и официально опубликован в "Российской газете" 30 декабря 2014 года. Специальный порядок вступления в силу Приказом N ММВ-7-3/600@ не установлен.</w:t>
      </w:r>
    </w:p>
    <w:p w:rsidR="00FD3B03" w:rsidRPr="00FD3B03" w:rsidRDefault="00FD3B03" w:rsidP="00FD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3B03">
        <w:rPr>
          <w:rFonts w:ascii="Times New Roman" w:hAnsi="Times New Roman" w:cs="Times New Roman"/>
          <w:sz w:val="26"/>
          <w:szCs w:val="26"/>
        </w:rPr>
        <w:t xml:space="preserve">Высший Арбитражный Суд Российской Федерации в </w:t>
      </w:r>
      <w:hyperlink r:id="rId9" w:history="1">
        <w:r w:rsidRPr="00FD3B03">
          <w:rPr>
            <w:rFonts w:ascii="Times New Roman" w:hAnsi="Times New Roman" w:cs="Times New Roman"/>
            <w:color w:val="0000FF"/>
            <w:sz w:val="26"/>
            <w:szCs w:val="26"/>
          </w:rPr>
          <w:t>Решении</w:t>
        </w:r>
      </w:hyperlink>
      <w:r w:rsidRPr="00FD3B03">
        <w:rPr>
          <w:rFonts w:ascii="Times New Roman" w:hAnsi="Times New Roman" w:cs="Times New Roman"/>
          <w:sz w:val="26"/>
          <w:szCs w:val="26"/>
        </w:rPr>
        <w:t xml:space="preserve"> от 28.07.2011 N ВАС-8096/11 указал, что действие нормативного правового акта, которым утверждается новая </w:t>
      </w:r>
      <w:hyperlink r:id="rId10" w:history="1">
        <w:r w:rsidRPr="00FD3B03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FD3B03">
        <w:rPr>
          <w:rFonts w:ascii="Times New Roman" w:hAnsi="Times New Roman" w:cs="Times New Roman"/>
          <w:sz w:val="26"/>
          <w:szCs w:val="26"/>
        </w:rPr>
        <w:t xml:space="preserve"> налоговой декларации, распространяется на декларирование, представляемое за отчетные (налоговый) периоды, окончившиеся после вступления данного нормативного </w:t>
      </w:r>
      <w:hyperlink r:id="rId11" w:history="1">
        <w:r w:rsidRPr="00FD3B03">
          <w:rPr>
            <w:rFonts w:ascii="Times New Roman" w:hAnsi="Times New Roman" w:cs="Times New Roman"/>
            <w:color w:val="0000FF"/>
            <w:sz w:val="26"/>
            <w:szCs w:val="26"/>
          </w:rPr>
          <w:t>правового акта</w:t>
        </w:r>
      </w:hyperlink>
      <w:r w:rsidRPr="00FD3B03">
        <w:rPr>
          <w:rFonts w:ascii="Times New Roman" w:hAnsi="Times New Roman" w:cs="Times New Roman"/>
          <w:sz w:val="26"/>
          <w:szCs w:val="26"/>
        </w:rPr>
        <w:t xml:space="preserve"> в силу.</w:t>
      </w:r>
      <w:proofErr w:type="gramEnd"/>
    </w:p>
    <w:p w:rsidR="00FD3B03" w:rsidRPr="00FD3B03" w:rsidRDefault="00FD3B03" w:rsidP="00FD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3B03">
        <w:rPr>
          <w:rFonts w:ascii="Times New Roman" w:hAnsi="Times New Roman" w:cs="Times New Roman"/>
          <w:sz w:val="26"/>
          <w:szCs w:val="26"/>
        </w:rPr>
        <w:t xml:space="preserve">Согласно позиции Высшего Арбитражного Суда Российской Федерации, выраженной в вышеуказанном </w:t>
      </w:r>
      <w:hyperlink r:id="rId12" w:history="1">
        <w:r w:rsidRPr="00FD3B03">
          <w:rPr>
            <w:rFonts w:ascii="Times New Roman" w:hAnsi="Times New Roman" w:cs="Times New Roman"/>
            <w:color w:val="0000FF"/>
            <w:sz w:val="26"/>
            <w:szCs w:val="26"/>
          </w:rPr>
          <w:t>Решении</w:t>
        </w:r>
      </w:hyperlink>
      <w:r w:rsidRPr="00FD3B03">
        <w:rPr>
          <w:rFonts w:ascii="Times New Roman" w:hAnsi="Times New Roman" w:cs="Times New Roman"/>
          <w:sz w:val="26"/>
          <w:szCs w:val="26"/>
        </w:rPr>
        <w:t xml:space="preserve">, порядок вступления в силу нормативного правового акта, которым утверждается новая форма налоговой декларации, определяется в соответствии с </w:t>
      </w:r>
      <w:hyperlink r:id="rId13" w:history="1">
        <w:r w:rsidRPr="00FD3B03">
          <w:rPr>
            <w:rFonts w:ascii="Times New Roman" w:hAnsi="Times New Roman" w:cs="Times New Roman"/>
            <w:color w:val="0000FF"/>
            <w:sz w:val="26"/>
            <w:szCs w:val="26"/>
          </w:rPr>
          <w:t>Указом</w:t>
        </w:r>
      </w:hyperlink>
      <w:r w:rsidRPr="00FD3B0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23.05.1996 N 763 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власти".</w:t>
      </w:r>
      <w:proofErr w:type="gramEnd"/>
    </w:p>
    <w:p w:rsidR="00FD3B03" w:rsidRPr="00FD3B03" w:rsidRDefault="00FD3B03" w:rsidP="00FD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B03">
        <w:rPr>
          <w:rFonts w:ascii="Times New Roman" w:hAnsi="Times New Roman" w:cs="Times New Roman"/>
          <w:sz w:val="26"/>
          <w:szCs w:val="26"/>
        </w:rPr>
        <w:t xml:space="preserve">Следовательно, действие положений </w:t>
      </w:r>
      <w:hyperlink r:id="rId14" w:history="1">
        <w:r w:rsidRPr="00FD3B03"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 w:rsidRPr="00FD3B03">
        <w:rPr>
          <w:rFonts w:ascii="Times New Roman" w:hAnsi="Times New Roman" w:cs="Times New Roman"/>
          <w:sz w:val="26"/>
          <w:szCs w:val="26"/>
        </w:rPr>
        <w:t xml:space="preserve"> N ММВ-7-3/600@ распространяется на декларации, представляемые за отчетные (</w:t>
      </w:r>
      <w:proofErr w:type="gramStart"/>
      <w:r w:rsidRPr="00FD3B03">
        <w:rPr>
          <w:rFonts w:ascii="Times New Roman" w:hAnsi="Times New Roman" w:cs="Times New Roman"/>
          <w:sz w:val="26"/>
          <w:szCs w:val="26"/>
        </w:rPr>
        <w:t>налоговый</w:t>
      </w:r>
      <w:proofErr w:type="gramEnd"/>
      <w:r w:rsidRPr="00FD3B03">
        <w:rPr>
          <w:rFonts w:ascii="Times New Roman" w:hAnsi="Times New Roman" w:cs="Times New Roman"/>
          <w:sz w:val="26"/>
          <w:szCs w:val="26"/>
        </w:rPr>
        <w:t>) периоды, окончившиеся после 10.01.2015.</w:t>
      </w:r>
    </w:p>
    <w:p w:rsidR="00FD3B03" w:rsidRPr="00FD3B03" w:rsidRDefault="00FD3B03" w:rsidP="00FD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B03">
        <w:rPr>
          <w:rFonts w:ascii="Times New Roman" w:hAnsi="Times New Roman" w:cs="Times New Roman"/>
          <w:sz w:val="26"/>
          <w:szCs w:val="26"/>
        </w:rPr>
        <w:t xml:space="preserve">Таким образом, налоговые декларации по налогу на прибыль организаций за отчетные и </w:t>
      </w:r>
      <w:proofErr w:type="gramStart"/>
      <w:r w:rsidRPr="00FD3B03">
        <w:rPr>
          <w:rFonts w:ascii="Times New Roman" w:hAnsi="Times New Roman" w:cs="Times New Roman"/>
          <w:sz w:val="26"/>
          <w:szCs w:val="26"/>
        </w:rPr>
        <w:t>налоговый</w:t>
      </w:r>
      <w:proofErr w:type="gramEnd"/>
      <w:r w:rsidRPr="00FD3B03">
        <w:rPr>
          <w:rFonts w:ascii="Times New Roman" w:hAnsi="Times New Roman" w:cs="Times New Roman"/>
          <w:sz w:val="26"/>
          <w:szCs w:val="26"/>
        </w:rPr>
        <w:t xml:space="preserve"> периоды 2015 года представляются в налоговые органы по </w:t>
      </w:r>
      <w:hyperlink r:id="rId15" w:history="1">
        <w:r w:rsidRPr="00FD3B03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FD3B0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FD3B03">
          <w:rPr>
            <w:rFonts w:ascii="Times New Roman" w:hAnsi="Times New Roman" w:cs="Times New Roman"/>
            <w:color w:val="0000FF"/>
            <w:sz w:val="26"/>
            <w:szCs w:val="26"/>
          </w:rPr>
          <w:t>формату</w:t>
        </w:r>
      </w:hyperlink>
      <w:r w:rsidRPr="00FD3B03">
        <w:rPr>
          <w:rFonts w:ascii="Times New Roman" w:hAnsi="Times New Roman" w:cs="Times New Roman"/>
          <w:sz w:val="26"/>
          <w:szCs w:val="26"/>
        </w:rPr>
        <w:t>, утвержденным Приказом N ММВ-7-3/600@.</w:t>
      </w:r>
    </w:p>
    <w:p w:rsidR="00FD3B03" w:rsidRPr="00FD3B03" w:rsidRDefault="00FD3B03" w:rsidP="00FD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B03">
        <w:rPr>
          <w:rFonts w:ascii="Times New Roman" w:hAnsi="Times New Roman" w:cs="Times New Roman"/>
          <w:sz w:val="26"/>
          <w:szCs w:val="26"/>
        </w:rPr>
        <w:t xml:space="preserve">Федеральная налоговая служба рекомендует налогоплательщикам представлять в налоговые органы налоговые декларации по налогу на прибыль организаций за налоговый период 2014 года по </w:t>
      </w:r>
      <w:hyperlink r:id="rId17" w:history="1">
        <w:r w:rsidRPr="00FD3B03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FD3B0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FD3B03">
          <w:rPr>
            <w:rFonts w:ascii="Times New Roman" w:hAnsi="Times New Roman" w:cs="Times New Roman"/>
            <w:color w:val="0000FF"/>
            <w:sz w:val="26"/>
            <w:szCs w:val="26"/>
          </w:rPr>
          <w:t>формату</w:t>
        </w:r>
      </w:hyperlink>
      <w:r w:rsidRPr="00FD3B03">
        <w:rPr>
          <w:rFonts w:ascii="Times New Roman" w:hAnsi="Times New Roman" w:cs="Times New Roman"/>
          <w:sz w:val="26"/>
          <w:szCs w:val="26"/>
        </w:rPr>
        <w:t>, утвержденным Приказом N ММВ-7-3/600@.</w:t>
      </w:r>
    </w:p>
    <w:p w:rsidR="00FD3B03" w:rsidRDefault="00FD3B03" w:rsidP="00FD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B03">
        <w:rPr>
          <w:rFonts w:ascii="Times New Roman" w:hAnsi="Times New Roman" w:cs="Times New Roman"/>
          <w:sz w:val="26"/>
          <w:szCs w:val="26"/>
        </w:rPr>
        <w:t xml:space="preserve">Налоговым органам надлежит обеспечить прием от налогоплательщиков налоговых деклараций по налогу на прибыль организаций за налоговый период 2014 года по формам и форматам, утвержденным Приказом </w:t>
      </w:r>
      <w:hyperlink r:id="rId19" w:history="1">
        <w:r w:rsidRPr="00FD3B03">
          <w:rPr>
            <w:rFonts w:ascii="Times New Roman" w:hAnsi="Times New Roman" w:cs="Times New Roman"/>
            <w:color w:val="0000FF"/>
            <w:sz w:val="26"/>
            <w:szCs w:val="26"/>
          </w:rPr>
          <w:t>N ММВ-7-3/600@</w:t>
        </w:r>
      </w:hyperlink>
      <w:r w:rsidRPr="00FD3B03">
        <w:rPr>
          <w:rFonts w:ascii="Times New Roman" w:hAnsi="Times New Roman" w:cs="Times New Roman"/>
          <w:sz w:val="26"/>
          <w:szCs w:val="26"/>
        </w:rPr>
        <w:t xml:space="preserve"> и приказом ФНС России от 22.03.2012 </w:t>
      </w:r>
      <w:hyperlink r:id="rId20" w:history="1">
        <w:r w:rsidRPr="00FD3B03">
          <w:rPr>
            <w:rFonts w:ascii="Times New Roman" w:hAnsi="Times New Roman" w:cs="Times New Roman"/>
            <w:color w:val="0000FF"/>
            <w:sz w:val="26"/>
            <w:szCs w:val="26"/>
          </w:rPr>
          <w:t>N ММВ-7-3/174@</w:t>
        </w:r>
      </w:hyperlink>
      <w:r w:rsidRPr="00FD3B03">
        <w:rPr>
          <w:rFonts w:ascii="Times New Roman" w:hAnsi="Times New Roman" w:cs="Times New Roman"/>
          <w:sz w:val="26"/>
          <w:szCs w:val="26"/>
        </w:rPr>
        <w:t>.</w:t>
      </w:r>
    </w:p>
    <w:p w:rsidR="00FD3B03" w:rsidRPr="00FD3B03" w:rsidRDefault="00FD3B03" w:rsidP="00FD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Указанная позиция изложена в письме ФНС России от 05.02.2015 №ГД-4-3/1696</w:t>
      </w:r>
      <w:r w:rsidRPr="00FD3B03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6047D4" w:rsidRDefault="006047D4"/>
    <w:sectPr w:rsidR="006047D4" w:rsidSect="00966D5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03"/>
    <w:rsid w:val="006047D4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5007CD0ACBDEDB8847CFD4F34645A0ACE7FEF14F01E7CF8A7E90530D16MBH" TargetMode="External"/><Relationship Id="rId13" Type="http://schemas.openxmlformats.org/officeDocument/2006/relationships/hyperlink" Target="consultantplus://offline/ref=6C5007CD0ACBDEDB8847CFD4F34645A0ACE6F5FE4B0DE7CF8A7E90530D16MBH" TargetMode="External"/><Relationship Id="rId18" Type="http://schemas.openxmlformats.org/officeDocument/2006/relationships/hyperlink" Target="consultantplus://offline/ref=6C5007CD0ACBDEDB8847CFD4F34645A0ACE7FEF14F01E7CF8A7E90530D6B2E7D0B11F7D419F1A36810MF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C5007CD0ACBDEDB8847CFD4F34645A0ACE7FEF14F01E7CF8A7E90530D6B2E7D0B11F7D419F1A36810MFH" TargetMode="External"/><Relationship Id="rId12" Type="http://schemas.openxmlformats.org/officeDocument/2006/relationships/hyperlink" Target="consultantplus://offline/ref=6C5007CD0ACBDEDB8847CFD4F34645A0ACE1FBF14804E7CF8A7E90530D16MBH" TargetMode="External"/><Relationship Id="rId17" Type="http://schemas.openxmlformats.org/officeDocument/2006/relationships/hyperlink" Target="consultantplus://offline/ref=6C5007CD0ACBDEDB8847CFD4F34645A0ACE7FEF14F01E7CF8A7E90530D6B2E7D0B11F7D419F3A66910M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5007CD0ACBDEDB8847CFD4F34645A0ACE7FEF14F01E7CF8A7E90530D6B2E7D0B11F7D419F1A36810MFH" TargetMode="External"/><Relationship Id="rId20" Type="http://schemas.openxmlformats.org/officeDocument/2006/relationships/hyperlink" Target="consultantplus://offline/ref=6C5007CD0ACBDEDB8847CFD4F34645A0ACE5FAFD4E03E7CF8A7E90530D16M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5007CD0ACBDEDB8847CFD4F34645A0ACE7FEF14F01E7CF8A7E90530D6B2E7D0B11F7D419F3AF6A10M3H" TargetMode="External"/><Relationship Id="rId11" Type="http://schemas.openxmlformats.org/officeDocument/2006/relationships/hyperlink" Target="consultantplus://offline/ref=6C5007CD0ACBDEDB8847CFD4F34645A0ACE7FEF14F01E7CF8A7E90530D16MBH" TargetMode="External"/><Relationship Id="rId5" Type="http://schemas.openxmlformats.org/officeDocument/2006/relationships/hyperlink" Target="consultantplus://offline/ref=6C5007CD0ACBDEDB8847CFD4F34645A0ACE7FEF14F01E7CF8A7E90530D6B2E7D0B11F7D419F3A66910M8H" TargetMode="External"/><Relationship Id="rId15" Type="http://schemas.openxmlformats.org/officeDocument/2006/relationships/hyperlink" Target="consultantplus://offline/ref=6C5007CD0ACBDEDB8847CFD4F34645A0ACE7FEF14F01E7CF8A7E90530D6B2E7D0B11F7D419F3A66910M8H" TargetMode="External"/><Relationship Id="rId10" Type="http://schemas.openxmlformats.org/officeDocument/2006/relationships/hyperlink" Target="consultantplus://offline/ref=6C5007CD0ACBDEDB8847CFD4F34645A0ACE7FEF14F01E7CF8A7E90530D6B2E7D0B11F7D419F3A66910M8H" TargetMode="External"/><Relationship Id="rId19" Type="http://schemas.openxmlformats.org/officeDocument/2006/relationships/hyperlink" Target="consultantplus://offline/ref=6C5007CD0ACBDEDB8847CFD4F34645A0ACE7FEF14F01E7CF8A7E90530D16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5007CD0ACBDEDB8847CFD4F34645A0ACE1FBF14804E7CF8A7E90530D16MBH" TargetMode="External"/><Relationship Id="rId14" Type="http://schemas.openxmlformats.org/officeDocument/2006/relationships/hyperlink" Target="consultantplus://offline/ref=6C5007CD0ACBDEDB8847CFD4F34645A0ACE7FEF14F01E7CF8A7E90530D16M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Пикалова Людмила Николаевна</dc:creator>
  <cp:lastModifiedBy>Пикалова Людмила Николаевна</cp:lastModifiedBy>
  <cp:revision>1</cp:revision>
  <dcterms:created xsi:type="dcterms:W3CDTF">2015-03-05T07:12:00Z</dcterms:created>
  <dcterms:modified xsi:type="dcterms:W3CDTF">2015-03-05T07:14:00Z</dcterms:modified>
</cp:coreProperties>
</file>