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AF" w:rsidRPr="00C95FAF" w:rsidRDefault="00E870EF" w:rsidP="00C95FAF">
      <w:pPr>
        <w:autoSpaceDE w:val="0"/>
        <w:autoSpaceDN w:val="0"/>
        <w:adjustRightInd w:val="0"/>
        <w:jc w:val="center"/>
        <w:rPr>
          <w:b/>
          <w:sz w:val="32"/>
          <w:szCs w:val="32"/>
        </w:rPr>
      </w:pPr>
      <w:r>
        <w:rPr>
          <w:b/>
          <w:sz w:val="32"/>
          <w:szCs w:val="32"/>
        </w:rPr>
        <w:t xml:space="preserve"> </w:t>
      </w:r>
      <w:bookmarkStart w:id="0" w:name="_GoBack"/>
      <w:r>
        <w:rPr>
          <w:b/>
          <w:sz w:val="32"/>
          <w:szCs w:val="32"/>
        </w:rPr>
        <w:t xml:space="preserve">З: </w:t>
      </w:r>
      <w:r w:rsidR="00C95FAF" w:rsidRPr="00C95FAF">
        <w:rPr>
          <w:b/>
          <w:sz w:val="32"/>
          <w:szCs w:val="32"/>
        </w:rPr>
        <w:t>Льготы по налогу на имущество физических лиц</w:t>
      </w:r>
    </w:p>
    <w:bookmarkEnd w:id="0"/>
    <w:p w:rsidR="00C95FAF" w:rsidRDefault="00E870EF" w:rsidP="00C95FAF">
      <w:pPr>
        <w:autoSpaceDE w:val="0"/>
        <w:autoSpaceDN w:val="0"/>
        <w:adjustRightInd w:val="0"/>
        <w:ind w:firstLine="540"/>
        <w:jc w:val="both"/>
        <w:rPr>
          <w:sz w:val="32"/>
          <w:szCs w:val="32"/>
        </w:rPr>
      </w:pPr>
      <w:proofErr w:type="spellStart"/>
      <w:proofErr w:type="gramStart"/>
      <w:r>
        <w:rPr>
          <w:sz w:val="32"/>
          <w:szCs w:val="32"/>
        </w:rPr>
        <w:t>П</w:t>
      </w:r>
      <w:proofErr w:type="gramEnd"/>
      <w:r>
        <w:rPr>
          <w:sz w:val="32"/>
          <w:szCs w:val="32"/>
        </w:rPr>
        <w:t>\з</w:t>
      </w:r>
      <w:proofErr w:type="spellEnd"/>
      <w:r>
        <w:rPr>
          <w:sz w:val="32"/>
          <w:szCs w:val="32"/>
        </w:rPr>
        <w:t>: П</w:t>
      </w:r>
      <w:r w:rsidRPr="00C95FAF">
        <w:rPr>
          <w:sz w:val="32"/>
          <w:szCs w:val="32"/>
        </w:rPr>
        <w:t>ереч</w:t>
      </w:r>
      <w:r>
        <w:rPr>
          <w:sz w:val="32"/>
          <w:szCs w:val="32"/>
        </w:rPr>
        <w:t>е</w:t>
      </w:r>
      <w:r w:rsidRPr="00C95FAF">
        <w:rPr>
          <w:sz w:val="32"/>
          <w:szCs w:val="32"/>
        </w:rPr>
        <w:t>н</w:t>
      </w:r>
      <w:r>
        <w:rPr>
          <w:sz w:val="32"/>
          <w:szCs w:val="32"/>
        </w:rPr>
        <w:t>ь</w:t>
      </w:r>
      <w:r w:rsidRPr="00C95FAF">
        <w:rPr>
          <w:sz w:val="32"/>
          <w:szCs w:val="32"/>
        </w:rPr>
        <w:t xml:space="preserve"> льготных категорий физических лиц</w:t>
      </w:r>
      <w:r>
        <w:rPr>
          <w:sz w:val="32"/>
          <w:szCs w:val="32"/>
        </w:rPr>
        <w:t xml:space="preserve"> остался прежним</w:t>
      </w:r>
    </w:p>
    <w:p w:rsidR="00E870EF" w:rsidRPr="00C95FAF" w:rsidRDefault="00E870EF" w:rsidP="00C95FAF">
      <w:pPr>
        <w:autoSpaceDE w:val="0"/>
        <w:autoSpaceDN w:val="0"/>
        <w:adjustRightInd w:val="0"/>
        <w:ind w:firstLine="540"/>
        <w:jc w:val="both"/>
        <w:rPr>
          <w:sz w:val="32"/>
          <w:szCs w:val="32"/>
        </w:rPr>
      </w:pPr>
    </w:p>
    <w:p w:rsidR="00C95FAF" w:rsidRPr="00C95FAF" w:rsidRDefault="00C95FAF" w:rsidP="00C95FAF">
      <w:pPr>
        <w:autoSpaceDE w:val="0"/>
        <w:autoSpaceDN w:val="0"/>
        <w:adjustRightInd w:val="0"/>
        <w:ind w:firstLine="540"/>
        <w:jc w:val="both"/>
        <w:rPr>
          <w:sz w:val="32"/>
          <w:szCs w:val="32"/>
        </w:rPr>
      </w:pPr>
      <w:r w:rsidRPr="00C95FAF">
        <w:rPr>
          <w:sz w:val="32"/>
          <w:szCs w:val="32"/>
        </w:rPr>
        <w:t xml:space="preserve">Межрайонная инспекция ФНС России №8 по Приморскому краю  напоминает о том, что с 1 января 2015 года изменился порядок предоставления льгот по налогу на имущество физических лиц. Изменения не коснулись перечня льготных категорий физических лиц, он остался прежним. </w:t>
      </w:r>
    </w:p>
    <w:p w:rsidR="00C95FAF" w:rsidRPr="00C95FAF" w:rsidRDefault="00C95FAF" w:rsidP="00C95FAF">
      <w:pPr>
        <w:autoSpaceDE w:val="0"/>
        <w:autoSpaceDN w:val="0"/>
        <w:adjustRightInd w:val="0"/>
        <w:ind w:firstLine="540"/>
        <w:jc w:val="both"/>
        <w:rPr>
          <w:sz w:val="32"/>
          <w:szCs w:val="32"/>
        </w:rPr>
      </w:pPr>
      <w:r w:rsidRPr="00C95FAF">
        <w:rPr>
          <w:sz w:val="32"/>
          <w:szCs w:val="32"/>
        </w:rPr>
        <w:t>С учетом положений статьи 407 Налогового кодекса Российской Федерации, право на налоговую льготу имеют следующие категории налогоплательщиков:</w:t>
      </w:r>
    </w:p>
    <w:p w:rsidR="00C95FAF" w:rsidRPr="00C95FAF" w:rsidRDefault="00C95FAF" w:rsidP="00C95FAF">
      <w:pPr>
        <w:autoSpaceDE w:val="0"/>
        <w:autoSpaceDN w:val="0"/>
        <w:adjustRightInd w:val="0"/>
        <w:ind w:firstLine="540"/>
        <w:jc w:val="both"/>
        <w:rPr>
          <w:sz w:val="32"/>
          <w:szCs w:val="32"/>
        </w:rPr>
      </w:pPr>
      <w:r w:rsidRPr="00C95FAF">
        <w:rPr>
          <w:sz w:val="32"/>
          <w:szCs w:val="32"/>
        </w:rPr>
        <w:t>1) Герои Советского Союза и Герои Российской Федерации, а также лица, награжденные орденом Славы трех степеней;</w:t>
      </w:r>
    </w:p>
    <w:p w:rsidR="00C95FAF" w:rsidRPr="00C95FAF" w:rsidRDefault="00C95FAF" w:rsidP="00C95FAF">
      <w:pPr>
        <w:autoSpaceDE w:val="0"/>
        <w:autoSpaceDN w:val="0"/>
        <w:adjustRightInd w:val="0"/>
        <w:ind w:firstLine="540"/>
        <w:jc w:val="both"/>
        <w:rPr>
          <w:sz w:val="32"/>
          <w:szCs w:val="32"/>
        </w:rPr>
      </w:pPr>
      <w:r w:rsidRPr="00C95FAF">
        <w:rPr>
          <w:sz w:val="32"/>
          <w:szCs w:val="32"/>
        </w:rPr>
        <w:t>2) инвалиды I и II групп инвалидности;</w:t>
      </w:r>
    </w:p>
    <w:p w:rsidR="00C95FAF" w:rsidRPr="00C95FAF" w:rsidRDefault="00C95FAF" w:rsidP="00C95FAF">
      <w:pPr>
        <w:autoSpaceDE w:val="0"/>
        <w:autoSpaceDN w:val="0"/>
        <w:adjustRightInd w:val="0"/>
        <w:ind w:firstLine="540"/>
        <w:jc w:val="both"/>
        <w:rPr>
          <w:sz w:val="32"/>
          <w:szCs w:val="32"/>
        </w:rPr>
      </w:pPr>
      <w:r w:rsidRPr="00C95FAF">
        <w:rPr>
          <w:sz w:val="32"/>
          <w:szCs w:val="32"/>
        </w:rPr>
        <w:t>3) инвалиды с детства;</w:t>
      </w:r>
    </w:p>
    <w:p w:rsidR="00C95FAF" w:rsidRPr="00C95FAF" w:rsidRDefault="00C95FAF" w:rsidP="00C95FAF">
      <w:pPr>
        <w:autoSpaceDE w:val="0"/>
        <w:autoSpaceDN w:val="0"/>
        <w:adjustRightInd w:val="0"/>
        <w:ind w:firstLine="540"/>
        <w:jc w:val="both"/>
        <w:rPr>
          <w:sz w:val="32"/>
          <w:szCs w:val="32"/>
        </w:rPr>
      </w:pPr>
      <w:r w:rsidRPr="00C95FAF">
        <w:rPr>
          <w:sz w:val="32"/>
          <w:szCs w:val="32"/>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C95FAF" w:rsidRPr="00C95FAF" w:rsidRDefault="00C95FAF" w:rsidP="00C95FAF">
      <w:pPr>
        <w:autoSpaceDE w:val="0"/>
        <w:autoSpaceDN w:val="0"/>
        <w:adjustRightInd w:val="0"/>
        <w:ind w:firstLine="540"/>
        <w:jc w:val="both"/>
        <w:rPr>
          <w:sz w:val="32"/>
          <w:szCs w:val="32"/>
        </w:rPr>
      </w:pPr>
      <w:r w:rsidRPr="00C95FAF">
        <w:rPr>
          <w:sz w:val="32"/>
          <w:szCs w:val="32"/>
        </w:rPr>
        <w:t>(в ред. Федерального закона от 29.12.2015 N 396-ФЗ)</w:t>
      </w:r>
    </w:p>
    <w:p w:rsidR="00C95FAF" w:rsidRPr="00C95FAF" w:rsidRDefault="00C95FAF" w:rsidP="00C95FAF">
      <w:pPr>
        <w:autoSpaceDE w:val="0"/>
        <w:autoSpaceDN w:val="0"/>
        <w:adjustRightInd w:val="0"/>
        <w:ind w:firstLine="540"/>
        <w:jc w:val="both"/>
        <w:rPr>
          <w:sz w:val="32"/>
          <w:szCs w:val="32"/>
        </w:rPr>
      </w:pPr>
      <w:proofErr w:type="gramStart"/>
      <w:r w:rsidRPr="00C95FAF">
        <w:rPr>
          <w:sz w:val="32"/>
          <w:szCs w:val="32"/>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Pr="00C95FAF">
        <w:rPr>
          <w:sz w:val="32"/>
          <w:szCs w:val="32"/>
        </w:rPr>
        <w:t xml:space="preserve"> частей действующей армии;</w:t>
      </w:r>
    </w:p>
    <w:p w:rsidR="00C95FAF" w:rsidRPr="00C95FAF" w:rsidRDefault="00C95FAF" w:rsidP="00C95FAF">
      <w:pPr>
        <w:autoSpaceDE w:val="0"/>
        <w:autoSpaceDN w:val="0"/>
        <w:adjustRightInd w:val="0"/>
        <w:ind w:firstLine="540"/>
        <w:jc w:val="both"/>
        <w:rPr>
          <w:sz w:val="32"/>
          <w:szCs w:val="32"/>
        </w:rPr>
      </w:pPr>
      <w:proofErr w:type="gramStart"/>
      <w:r w:rsidRPr="00C95FAF">
        <w:rPr>
          <w:sz w:val="32"/>
          <w:szCs w:val="32"/>
        </w:rPr>
        <w:t>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напроизводственном</w:t>
      </w:r>
      <w:proofErr w:type="gramEnd"/>
      <w:r w:rsidRPr="00C95FAF">
        <w:rPr>
          <w:sz w:val="32"/>
          <w:szCs w:val="32"/>
        </w:rPr>
        <w:t xml:space="preserve"> </w:t>
      </w:r>
      <w:proofErr w:type="gramStart"/>
      <w:r w:rsidRPr="00C95FAF">
        <w:rPr>
          <w:sz w:val="32"/>
          <w:szCs w:val="32"/>
        </w:rPr>
        <w:t>объединении</w:t>
      </w:r>
      <w:proofErr w:type="gramEnd"/>
      <w:r w:rsidRPr="00C95FAF">
        <w:rPr>
          <w:sz w:val="32"/>
          <w:szCs w:val="32"/>
        </w:rPr>
        <w:t xml:space="preserve"> "Маяк" и сбросов радиоактивных отходов в реку </w:t>
      </w:r>
      <w:proofErr w:type="spellStart"/>
      <w:r w:rsidRPr="00C95FAF">
        <w:rPr>
          <w:sz w:val="32"/>
          <w:szCs w:val="32"/>
        </w:rPr>
        <w:t>Теча</w:t>
      </w:r>
      <w:proofErr w:type="spellEnd"/>
      <w:r w:rsidRPr="00C95FAF">
        <w:rPr>
          <w:sz w:val="32"/>
          <w:szCs w:val="32"/>
        </w:rPr>
        <w:t xml:space="preserve">" и Федеральным законом от 10 января 2002 года N 2-ФЗ "О социальных гарантиях гражданам, подвергшимся радиационному </w:t>
      </w:r>
      <w:r w:rsidRPr="00C95FAF">
        <w:rPr>
          <w:sz w:val="32"/>
          <w:szCs w:val="32"/>
        </w:rPr>
        <w:lastRenderedPageBreak/>
        <w:t>воздействию вследствие ядерных испытаний на Семипалатинском полигоне";</w:t>
      </w:r>
    </w:p>
    <w:p w:rsidR="00C95FAF" w:rsidRPr="00C95FAF" w:rsidRDefault="00C95FAF" w:rsidP="00C95FAF">
      <w:pPr>
        <w:autoSpaceDE w:val="0"/>
        <w:autoSpaceDN w:val="0"/>
        <w:adjustRightInd w:val="0"/>
        <w:ind w:firstLine="540"/>
        <w:jc w:val="both"/>
        <w:rPr>
          <w:sz w:val="32"/>
          <w:szCs w:val="32"/>
        </w:rPr>
      </w:pPr>
      <w:r w:rsidRPr="00C95FAF">
        <w:rPr>
          <w:sz w:val="32"/>
          <w:szCs w:val="32"/>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C95FAF" w:rsidRPr="00C95FAF" w:rsidRDefault="00C95FAF" w:rsidP="00C95FAF">
      <w:pPr>
        <w:autoSpaceDE w:val="0"/>
        <w:autoSpaceDN w:val="0"/>
        <w:adjustRightInd w:val="0"/>
        <w:ind w:firstLine="540"/>
        <w:jc w:val="both"/>
        <w:rPr>
          <w:sz w:val="32"/>
          <w:szCs w:val="32"/>
        </w:rPr>
      </w:pPr>
      <w:r w:rsidRPr="00C95FAF">
        <w:rPr>
          <w:sz w:val="32"/>
          <w:szCs w:val="32"/>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C95FAF" w:rsidRPr="00C95FAF" w:rsidRDefault="00C95FAF" w:rsidP="00C95FAF">
      <w:pPr>
        <w:autoSpaceDE w:val="0"/>
        <w:autoSpaceDN w:val="0"/>
        <w:adjustRightInd w:val="0"/>
        <w:ind w:firstLine="540"/>
        <w:jc w:val="both"/>
        <w:rPr>
          <w:sz w:val="32"/>
          <w:szCs w:val="32"/>
        </w:rPr>
      </w:pPr>
      <w:r w:rsidRPr="00C95FAF">
        <w:rPr>
          <w:sz w:val="32"/>
          <w:szCs w:val="32"/>
        </w:rPr>
        <w:t>9) члены семей военнослужащих, потерявших кормильца, признаваемые таковыми в соответствии с Федеральным законом от 27 мая 1998 года N 76-ФЗ "О статусе военнослужащих";</w:t>
      </w:r>
    </w:p>
    <w:p w:rsidR="00C95FAF" w:rsidRPr="00C95FAF" w:rsidRDefault="00C95FAF" w:rsidP="00C95FAF">
      <w:pPr>
        <w:autoSpaceDE w:val="0"/>
        <w:autoSpaceDN w:val="0"/>
        <w:adjustRightInd w:val="0"/>
        <w:ind w:firstLine="540"/>
        <w:jc w:val="both"/>
        <w:rPr>
          <w:sz w:val="32"/>
          <w:szCs w:val="32"/>
        </w:rPr>
      </w:pPr>
      <w:r w:rsidRPr="00C95FAF">
        <w:rPr>
          <w:sz w:val="32"/>
          <w:szCs w:val="32"/>
        </w:rPr>
        <w:t>(в ред. Федерального закона от 29.12.2015 N 396-ФЗ)</w:t>
      </w:r>
    </w:p>
    <w:p w:rsidR="00C95FAF" w:rsidRPr="00C95FAF" w:rsidRDefault="00C95FAF" w:rsidP="00C95FAF">
      <w:pPr>
        <w:autoSpaceDE w:val="0"/>
        <w:autoSpaceDN w:val="0"/>
        <w:adjustRightInd w:val="0"/>
        <w:ind w:firstLine="540"/>
        <w:jc w:val="both"/>
        <w:rPr>
          <w:sz w:val="32"/>
          <w:szCs w:val="32"/>
        </w:rPr>
      </w:pPr>
      <w:r w:rsidRPr="00C95FAF">
        <w:rPr>
          <w:sz w:val="32"/>
          <w:szCs w:val="32"/>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95FAF" w:rsidRPr="00C95FAF" w:rsidRDefault="00C95FAF" w:rsidP="00C95FAF">
      <w:pPr>
        <w:autoSpaceDE w:val="0"/>
        <w:autoSpaceDN w:val="0"/>
        <w:adjustRightInd w:val="0"/>
        <w:ind w:firstLine="540"/>
        <w:jc w:val="both"/>
        <w:rPr>
          <w:sz w:val="32"/>
          <w:szCs w:val="32"/>
        </w:rPr>
      </w:pPr>
      <w:r w:rsidRPr="00C95FAF">
        <w:rPr>
          <w:sz w:val="32"/>
          <w:szCs w:val="32"/>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C95FAF" w:rsidRPr="00C95FAF" w:rsidRDefault="00C95FAF" w:rsidP="00C95FAF">
      <w:pPr>
        <w:autoSpaceDE w:val="0"/>
        <w:autoSpaceDN w:val="0"/>
        <w:adjustRightInd w:val="0"/>
        <w:ind w:firstLine="540"/>
        <w:jc w:val="both"/>
        <w:rPr>
          <w:sz w:val="32"/>
          <w:szCs w:val="32"/>
        </w:rPr>
      </w:pPr>
      <w:r w:rsidRPr="00C95FAF">
        <w:rPr>
          <w:sz w:val="32"/>
          <w:szCs w:val="32"/>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95FAF" w:rsidRPr="00C95FAF" w:rsidRDefault="00C95FAF" w:rsidP="00C95FAF">
      <w:pPr>
        <w:autoSpaceDE w:val="0"/>
        <w:autoSpaceDN w:val="0"/>
        <w:adjustRightInd w:val="0"/>
        <w:ind w:firstLine="540"/>
        <w:jc w:val="both"/>
        <w:rPr>
          <w:sz w:val="32"/>
          <w:szCs w:val="32"/>
        </w:rPr>
      </w:pPr>
      <w:r w:rsidRPr="00C95FAF">
        <w:rPr>
          <w:sz w:val="32"/>
          <w:szCs w:val="32"/>
        </w:rPr>
        <w:t>13) родители и супруги военнослужащих и государственных служащих, погибших при исполнении служебных обязанностей;</w:t>
      </w:r>
    </w:p>
    <w:p w:rsidR="00C95FAF" w:rsidRPr="00C95FAF" w:rsidRDefault="00C95FAF" w:rsidP="00C95FAF">
      <w:pPr>
        <w:autoSpaceDE w:val="0"/>
        <w:autoSpaceDN w:val="0"/>
        <w:adjustRightInd w:val="0"/>
        <w:ind w:firstLine="540"/>
        <w:jc w:val="both"/>
        <w:rPr>
          <w:sz w:val="32"/>
          <w:szCs w:val="32"/>
        </w:rPr>
      </w:pPr>
      <w:r w:rsidRPr="00C95FAF">
        <w:rPr>
          <w:sz w:val="32"/>
          <w:szCs w:val="32"/>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C95FAF" w:rsidRPr="00C95FAF" w:rsidRDefault="00C95FAF" w:rsidP="00C95FAF">
      <w:pPr>
        <w:autoSpaceDE w:val="0"/>
        <w:autoSpaceDN w:val="0"/>
        <w:adjustRightInd w:val="0"/>
        <w:ind w:firstLine="540"/>
        <w:jc w:val="both"/>
        <w:rPr>
          <w:sz w:val="32"/>
          <w:szCs w:val="32"/>
        </w:rPr>
      </w:pPr>
      <w:r w:rsidRPr="00C95FAF">
        <w:rPr>
          <w:sz w:val="32"/>
          <w:szCs w:val="32"/>
        </w:rPr>
        <w:t xml:space="preserve">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w:t>
      </w:r>
      <w:r w:rsidRPr="00C95FAF">
        <w:rPr>
          <w:sz w:val="32"/>
          <w:szCs w:val="32"/>
        </w:rPr>
        <w:lastRenderedPageBreak/>
        <w:t>для ведения личного подсобного, дачного хозяйства, огородничества, садоводства или индивидуального жилищного строительства.</w:t>
      </w:r>
    </w:p>
    <w:p w:rsidR="00C95FAF" w:rsidRPr="00C95FAF" w:rsidRDefault="00C95FAF" w:rsidP="00C95FAF">
      <w:pPr>
        <w:autoSpaceDE w:val="0"/>
        <w:autoSpaceDN w:val="0"/>
        <w:adjustRightInd w:val="0"/>
        <w:ind w:firstLine="540"/>
        <w:jc w:val="both"/>
        <w:rPr>
          <w:sz w:val="32"/>
          <w:szCs w:val="32"/>
        </w:rPr>
      </w:pPr>
      <w:r w:rsidRPr="00C95FAF">
        <w:rPr>
          <w:sz w:val="32"/>
          <w:szCs w:val="32"/>
        </w:rPr>
        <w:t>Налоговая льгота предоставляется в отношении следующих видов объектов налогообложения:</w:t>
      </w:r>
    </w:p>
    <w:p w:rsidR="00C95FAF" w:rsidRPr="00C95FAF" w:rsidRDefault="00C95FAF" w:rsidP="00C95FAF">
      <w:pPr>
        <w:autoSpaceDE w:val="0"/>
        <w:autoSpaceDN w:val="0"/>
        <w:adjustRightInd w:val="0"/>
        <w:ind w:firstLine="540"/>
        <w:jc w:val="both"/>
        <w:rPr>
          <w:sz w:val="32"/>
          <w:szCs w:val="32"/>
        </w:rPr>
      </w:pPr>
      <w:r w:rsidRPr="00C95FAF">
        <w:rPr>
          <w:sz w:val="32"/>
          <w:szCs w:val="32"/>
        </w:rPr>
        <w:t>1) квартира или комната;</w:t>
      </w:r>
    </w:p>
    <w:p w:rsidR="00C95FAF" w:rsidRPr="00C95FAF" w:rsidRDefault="00C95FAF" w:rsidP="00C95FAF">
      <w:pPr>
        <w:autoSpaceDE w:val="0"/>
        <w:autoSpaceDN w:val="0"/>
        <w:adjustRightInd w:val="0"/>
        <w:ind w:firstLine="540"/>
        <w:jc w:val="both"/>
        <w:rPr>
          <w:sz w:val="32"/>
          <w:szCs w:val="32"/>
        </w:rPr>
      </w:pPr>
      <w:r w:rsidRPr="00C95FAF">
        <w:rPr>
          <w:sz w:val="32"/>
          <w:szCs w:val="32"/>
        </w:rPr>
        <w:t>2) жилой дом;</w:t>
      </w:r>
    </w:p>
    <w:p w:rsidR="00C95FAF" w:rsidRPr="00C95FAF" w:rsidRDefault="00C95FAF" w:rsidP="00C95FAF">
      <w:pPr>
        <w:autoSpaceDE w:val="0"/>
        <w:autoSpaceDN w:val="0"/>
        <w:adjustRightInd w:val="0"/>
        <w:ind w:firstLine="540"/>
        <w:jc w:val="both"/>
        <w:rPr>
          <w:sz w:val="32"/>
          <w:szCs w:val="32"/>
        </w:rPr>
      </w:pPr>
      <w:r w:rsidRPr="00C95FAF">
        <w:rPr>
          <w:sz w:val="32"/>
          <w:szCs w:val="32"/>
        </w:rPr>
        <w:t xml:space="preserve">3) помещение или сооружение, </w:t>
      </w:r>
    </w:p>
    <w:p w:rsidR="00C95FAF" w:rsidRPr="00C95FAF" w:rsidRDefault="00C95FAF" w:rsidP="00C95FAF">
      <w:pPr>
        <w:autoSpaceDE w:val="0"/>
        <w:autoSpaceDN w:val="0"/>
        <w:adjustRightInd w:val="0"/>
        <w:ind w:firstLine="540"/>
        <w:jc w:val="both"/>
        <w:rPr>
          <w:sz w:val="32"/>
          <w:szCs w:val="32"/>
        </w:rPr>
      </w:pPr>
      <w:r w:rsidRPr="00C95FAF">
        <w:rPr>
          <w:sz w:val="32"/>
          <w:szCs w:val="32"/>
        </w:rPr>
        <w:t xml:space="preserve">4) хозяйственное строение или сооружение, </w:t>
      </w:r>
    </w:p>
    <w:p w:rsidR="00C95FAF" w:rsidRPr="00C95FAF" w:rsidRDefault="00C95FAF" w:rsidP="00C95FAF">
      <w:pPr>
        <w:autoSpaceDE w:val="0"/>
        <w:autoSpaceDN w:val="0"/>
        <w:adjustRightInd w:val="0"/>
        <w:ind w:firstLine="540"/>
        <w:jc w:val="both"/>
        <w:rPr>
          <w:sz w:val="32"/>
          <w:szCs w:val="32"/>
        </w:rPr>
      </w:pPr>
      <w:r w:rsidRPr="00C95FAF">
        <w:rPr>
          <w:sz w:val="32"/>
          <w:szCs w:val="32"/>
        </w:rPr>
        <w:t xml:space="preserve">5) гараж или </w:t>
      </w:r>
      <w:proofErr w:type="spellStart"/>
      <w:r w:rsidRPr="00C95FAF">
        <w:rPr>
          <w:sz w:val="32"/>
          <w:szCs w:val="32"/>
        </w:rPr>
        <w:t>машино-место</w:t>
      </w:r>
      <w:proofErr w:type="spellEnd"/>
      <w:r w:rsidRPr="00C95FAF">
        <w:rPr>
          <w:sz w:val="32"/>
          <w:szCs w:val="32"/>
        </w:rPr>
        <w:t>.</w:t>
      </w:r>
    </w:p>
    <w:p w:rsidR="00C95FAF" w:rsidRPr="00C95FAF" w:rsidRDefault="00C95FAF" w:rsidP="00C95FAF">
      <w:pPr>
        <w:autoSpaceDE w:val="0"/>
        <w:autoSpaceDN w:val="0"/>
        <w:adjustRightInd w:val="0"/>
        <w:ind w:firstLine="540"/>
        <w:jc w:val="both"/>
        <w:rPr>
          <w:sz w:val="32"/>
          <w:szCs w:val="32"/>
        </w:rPr>
      </w:pPr>
      <w:r w:rsidRPr="00C95FAF">
        <w:rPr>
          <w:sz w:val="32"/>
          <w:szCs w:val="32"/>
        </w:rPr>
        <w:t>Налоговая льгота теперь  не предоставляется  в отношении таких объектов как -  единый недвижимый комплекс,  объект незавершенного строительства, а также в отношении объектов налогообложения, кадастровая стоимость каждого из которых превышает 300 миллионов рублей.</w:t>
      </w:r>
    </w:p>
    <w:p w:rsidR="00C95FAF" w:rsidRPr="00C95FAF" w:rsidRDefault="00C95FAF" w:rsidP="00C95FAF">
      <w:pPr>
        <w:autoSpaceDE w:val="0"/>
        <w:autoSpaceDN w:val="0"/>
        <w:adjustRightInd w:val="0"/>
        <w:ind w:firstLine="540"/>
        <w:jc w:val="both"/>
        <w:rPr>
          <w:sz w:val="32"/>
          <w:szCs w:val="32"/>
        </w:rPr>
      </w:pPr>
      <w:r w:rsidRPr="00C95FAF">
        <w:rPr>
          <w:sz w:val="32"/>
          <w:szCs w:val="32"/>
        </w:rPr>
        <w:t>С 2015 года  использовать льготу можно только при уплате налога за один объект каждого вида, по выбору налогоплательщика, вне зависимости от количества оснований для применения льгот. До 01.01.2015 льгота предоставлялась за все объекты, находящиеся на территории муниципального образования.</w:t>
      </w:r>
    </w:p>
    <w:p w:rsidR="00C95FAF" w:rsidRPr="00C95FAF" w:rsidRDefault="00C95FAF" w:rsidP="00C95FAF">
      <w:pPr>
        <w:autoSpaceDE w:val="0"/>
        <w:autoSpaceDN w:val="0"/>
        <w:adjustRightInd w:val="0"/>
        <w:ind w:firstLine="540"/>
        <w:jc w:val="both"/>
        <w:rPr>
          <w:sz w:val="32"/>
          <w:szCs w:val="32"/>
        </w:rPr>
      </w:pPr>
      <w:r w:rsidRPr="00C95FAF">
        <w:rPr>
          <w:sz w:val="32"/>
          <w:szCs w:val="32"/>
        </w:rPr>
        <w:t>Если налогоплательщик-льготник имеет в собственности две квартиры и дачный дом, то он имеет право на льготу при уплате налога за дачный дом и за одну из своих квартир (по его выбору). Если же налогоплательщик владеет по одному объекту недвижимости разного вида (например, жилой дом, гараж и дача), то он имеет право заявить о льготном налогообложении всех этих объектов.</w:t>
      </w:r>
    </w:p>
    <w:p w:rsidR="00C95FAF" w:rsidRPr="00C95FAF" w:rsidRDefault="00C95FAF" w:rsidP="00C95FAF">
      <w:pPr>
        <w:autoSpaceDE w:val="0"/>
        <w:autoSpaceDN w:val="0"/>
        <w:adjustRightInd w:val="0"/>
        <w:ind w:firstLine="540"/>
        <w:jc w:val="both"/>
        <w:rPr>
          <w:sz w:val="32"/>
          <w:szCs w:val="32"/>
        </w:rPr>
      </w:pPr>
      <w:r w:rsidRPr="00C95FAF">
        <w:rPr>
          <w:sz w:val="32"/>
          <w:szCs w:val="32"/>
        </w:rPr>
        <w:t>Налогоплательщик, имеющий право на льготу по налогу на имущество физических лиц, может подать соответствующее уведомление. И сделать это нужно до 1 ноября.</w:t>
      </w:r>
    </w:p>
    <w:p w:rsidR="00C95FAF" w:rsidRPr="00C95FAF" w:rsidRDefault="00C95FAF" w:rsidP="00C95FAF">
      <w:pPr>
        <w:autoSpaceDE w:val="0"/>
        <w:autoSpaceDN w:val="0"/>
        <w:adjustRightInd w:val="0"/>
        <w:ind w:firstLine="540"/>
        <w:jc w:val="both"/>
        <w:rPr>
          <w:sz w:val="32"/>
          <w:szCs w:val="32"/>
        </w:rPr>
      </w:pPr>
      <w:r w:rsidRPr="00C95FAF">
        <w:rPr>
          <w:sz w:val="32"/>
          <w:szCs w:val="32"/>
        </w:rPr>
        <w:t xml:space="preserve">Форму уведомления (утв. Приказом  ФНС России от 13.07.2015 № ММВ-7-11/280@) можно получить в любом налоговом органе либо обратившись к любой правовой программе. Пользователи электронного сервиса «Личный кабинет для физических лиц» могут направить  уведомление о выборе льготного объекта, воспользовавшись данным сервисом. </w:t>
      </w:r>
    </w:p>
    <w:p w:rsidR="00C95FAF" w:rsidRPr="00C95FAF" w:rsidRDefault="00C95FAF" w:rsidP="00C95FAF">
      <w:pPr>
        <w:autoSpaceDE w:val="0"/>
        <w:autoSpaceDN w:val="0"/>
        <w:adjustRightInd w:val="0"/>
        <w:ind w:firstLine="540"/>
        <w:jc w:val="both"/>
        <w:rPr>
          <w:sz w:val="32"/>
          <w:szCs w:val="32"/>
        </w:rPr>
      </w:pPr>
      <w:r w:rsidRPr="00C95FAF">
        <w:rPr>
          <w:sz w:val="32"/>
          <w:szCs w:val="32"/>
        </w:rPr>
        <w:t>Если ранее налогоплательщик не имел льгот по налогу на имущество физических лиц, к уведомлению необходимо приложить соответствующее заявление и документы, подтверждающие право на налоговую льготу.</w:t>
      </w:r>
    </w:p>
    <w:p w:rsidR="00C95FAF" w:rsidRPr="00C95FAF" w:rsidRDefault="00C95FAF" w:rsidP="00C95FAF">
      <w:pPr>
        <w:autoSpaceDE w:val="0"/>
        <w:autoSpaceDN w:val="0"/>
        <w:adjustRightInd w:val="0"/>
        <w:ind w:firstLine="540"/>
        <w:jc w:val="both"/>
        <w:rPr>
          <w:sz w:val="32"/>
          <w:szCs w:val="32"/>
        </w:rPr>
      </w:pPr>
      <w:r w:rsidRPr="00C95FAF">
        <w:rPr>
          <w:sz w:val="32"/>
          <w:szCs w:val="32"/>
        </w:rPr>
        <w:lastRenderedPageBreak/>
        <w:t>В уведомлении необходимо указать один объект налогообложения каждого вида (из расположенных на всей  территории Российской Федерации)  по выбору налогоплательщика, в отношении которого налогоплательщик желает применить льготу по налогу на имущество физических лиц.</w:t>
      </w:r>
    </w:p>
    <w:p w:rsidR="00C95FAF" w:rsidRPr="00C95FAF" w:rsidRDefault="00C95FAF" w:rsidP="00C95FAF">
      <w:pPr>
        <w:autoSpaceDE w:val="0"/>
        <w:autoSpaceDN w:val="0"/>
        <w:adjustRightInd w:val="0"/>
        <w:ind w:firstLine="540"/>
        <w:jc w:val="both"/>
        <w:rPr>
          <w:sz w:val="32"/>
          <w:szCs w:val="32"/>
        </w:rPr>
      </w:pPr>
      <w:r w:rsidRPr="00C95FAF">
        <w:rPr>
          <w:sz w:val="32"/>
          <w:szCs w:val="32"/>
        </w:rPr>
        <w:t>Если налогоплательщик, имеющий право на льготу по налогу на имущество физических лиц, не подал уведомление до 1 ноября 2015 года, он сможет сделать это в 2016 году  и оно будет  учтено при расчете суммы налога в 2017 году. А за 2015 год льгота будет предоставлена налоговым органом самостоятельно, в отношении объекта с максимальной суммой налога. Далее подавать уведомления ежегодно не нужно.</w:t>
      </w:r>
    </w:p>
    <w:p w:rsidR="004B7D62" w:rsidRDefault="00C95FAF" w:rsidP="00C95FAF">
      <w:pPr>
        <w:autoSpaceDE w:val="0"/>
        <w:autoSpaceDN w:val="0"/>
        <w:adjustRightInd w:val="0"/>
        <w:ind w:firstLine="540"/>
        <w:jc w:val="both"/>
        <w:rPr>
          <w:sz w:val="32"/>
          <w:szCs w:val="32"/>
        </w:rPr>
      </w:pPr>
      <w:r w:rsidRPr="00C95FAF">
        <w:rPr>
          <w:sz w:val="32"/>
          <w:szCs w:val="32"/>
        </w:rPr>
        <w:t>Представление уточненного уведомления с изменением объекта налогообложения, в отношении которого в указанном налоговом периоде предоставляется налоговая льгота, после 1 ноября не допускается.</w:t>
      </w:r>
    </w:p>
    <w:p w:rsidR="004B7D62" w:rsidRDefault="004B7D62" w:rsidP="004B7D62">
      <w:pPr>
        <w:autoSpaceDE w:val="0"/>
        <w:autoSpaceDN w:val="0"/>
        <w:adjustRightInd w:val="0"/>
        <w:ind w:firstLine="540"/>
        <w:jc w:val="both"/>
        <w:rPr>
          <w:sz w:val="32"/>
          <w:szCs w:val="32"/>
        </w:rPr>
      </w:pPr>
      <w:r>
        <w:rPr>
          <w:sz w:val="32"/>
          <w:szCs w:val="32"/>
        </w:rPr>
        <w:t xml:space="preserve">                                                                     МИФНС России №8</w:t>
      </w:r>
    </w:p>
    <w:p w:rsidR="004B7D62" w:rsidRDefault="004B7D62" w:rsidP="004B7D62">
      <w:pPr>
        <w:autoSpaceDE w:val="0"/>
        <w:autoSpaceDN w:val="0"/>
        <w:adjustRightInd w:val="0"/>
        <w:ind w:firstLine="540"/>
        <w:jc w:val="both"/>
        <w:rPr>
          <w:sz w:val="32"/>
          <w:szCs w:val="32"/>
        </w:rPr>
      </w:pPr>
      <w:r>
        <w:rPr>
          <w:sz w:val="32"/>
          <w:szCs w:val="32"/>
        </w:rPr>
        <w:t xml:space="preserve">                                                                      по Приморскому краю</w:t>
      </w:r>
    </w:p>
    <w:p w:rsidR="009C5B4A" w:rsidRDefault="009C5B4A" w:rsidP="000852FB">
      <w:pPr>
        <w:jc w:val="both"/>
        <w:rPr>
          <w:sz w:val="32"/>
          <w:szCs w:val="32"/>
        </w:rPr>
      </w:pPr>
    </w:p>
    <w:sectPr w:rsidR="009C5B4A" w:rsidSect="004B7D62">
      <w:pgSz w:w="11906" w:h="16838"/>
      <w:pgMar w:top="1134" w:right="567" w:bottom="1134"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4004E9"/>
    <w:rsid w:val="000852FB"/>
    <w:rsid w:val="001B59EF"/>
    <w:rsid w:val="001D4094"/>
    <w:rsid w:val="001D76C4"/>
    <w:rsid w:val="003309B3"/>
    <w:rsid w:val="0036465E"/>
    <w:rsid w:val="003668CB"/>
    <w:rsid w:val="003936AC"/>
    <w:rsid w:val="003D70C5"/>
    <w:rsid w:val="004004E9"/>
    <w:rsid w:val="004B7D62"/>
    <w:rsid w:val="004C772A"/>
    <w:rsid w:val="005B751B"/>
    <w:rsid w:val="00690703"/>
    <w:rsid w:val="006E5FC4"/>
    <w:rsid w:val="007B473E"/>
    <w:rsid w:val="00803772"/>
    <w:rsid w:val="00973422"/>
    <w:rsid w:val="009C5B4A"/>
    <w:rsid w:val="009E032C"/>
    <w:rsid w:val="00A05822"/>
    <w:rsid w:val="00A14001"/>
    <w:rsid w:val="00A53D29"/>
    <w:rsid w:val="00A8150E"/>
    <w:rsid w:val="00A903E6"/>
    <w:rsid w:val="00AD7082"/>
    <w:rsid w:val="00B94E39"/>
    <w:rsid w:val="00BA40A0"/>
    <w:rsid w:val="00C054FD"/>
    <w:rsid w:val="00C95FAF"/>
    <w:rsid w:val="00D82BC3"/>
    <w:rsid w:val="00DC7337"/>
    <w:rsid w:val="00DF724B"/>
    <w:rsid w:val="00E870EF"/>
    <w:rsid w:val="00ED7B36"/>
    <w:rsid w:val="00F10F15"/>
    <w:rsid w:val="00F7604C"/>
    <w:rsid w:val="00F84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7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703"/>
    <w:pPr>
      <w:autoSpaceDE w:val="0"/>
      <w:autoSpaceDN w:val="0"/>
      <w:adjustRightInd w:val="0"/>
    </w:pPr>
    <w:rPr>
      <w:b/>
      <w:bCs/>
      <w:sz w:val="28"/>
      <w:szCs w:val="28"/>
    </w:rPr>
  </w:style>
  <w:style w:type="character" w:styleId="a3">
    <w:name w:val="Hyperlink"/>
    <w:basedOn w:val="a0"/>
    <w:uiPriority w:val="99"/>
    <w:unhideWhenUsed/>
    <w:rsid w:val="00690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7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703"/>
    <w:pPr>
      <w:autoSpaceDE w:val="0"/>
      <w:autoSpaceDN w:val="0"/>
      <w:adjustRightInd w:val="0"/>
    </w:pPr>
    <w:rPr>
      <w:b/>
      <w:bCs/>
      <w:sz w:val="28"/>
      <w:szCs w:val="28"/>
    </w:rPr>
  </w:style>
  <w:style w:type="character" w:styleId="a3">
    <w:name w:val="Hyperlink"/>
    <w:basedOn w:val="a0"/>
    <w:uiPriority w:val="99"/>
    <w:unhideWhenUsed/>
    <w:rsid w:val="00690703"/>
    <w:rPr>
      <w:color w:val="0000FF"/>
      <w:u w:val="single"/>
    </w:rPr>
  </w:style>
</w:styles>
</file>

<file path=word/webSettings.xml><?xml version="1.0" encoding="utf-8"?>
<w:webSettings xmlns:r="http://schemas.openxmlformats.org/officeDocument/2006/relationships" xmlns:w="http://schemas.openxmlformats.org/wordprocessingml/2006/main">
  <w:divs>
    <w:div w:id="5870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Ирина Юрьевна</dc:creator>
  <cp:lastModifiedBy>Томашева Рита Николаевна</cp:lastModifiedBy>
  <cp:revision>4</cp:revision>
  <cp:lastPrinted>2016-06-01T02:43:00Z</cp:lastPrinted>
  <dcterms:created xsi:type="dcterms:W3CDTF">2016-06-22T04:08:00Z</dcterms:created>
  <dcterms:modified xsi:type="dcterms:W3CDTF">2016-06-24T07:50:00Z</dcterms:modified>
</cp:coreProperties>
</file>