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1E" w:rsidRDefault="0092411E" w:rsidP="000C3952">
      <w:pPr>
        <w:shd w:val="clear" w:color="auto" w:fill="FFFFFF"/>
        <w:spacing w:after="0"/>
        <w:jc w:val="both"/>
        <w:rPr>
          <w:bCs/>
          <w:color w:val="000000" w:themeColor="text1"/>
          <w:sz w:val="28"/>
          <w:szCs w:val="28"/>
        </w:rPr>
      </w:pPr>
    </w:p>
    <w:p w:rsidR="0092411E" w:rsidRPr="0092411E" w:rsidRDefault="0092411E" w:rsidP="0092411E">
      <w:pPr>
        <w:pStyle w:val="revannmailrucssattributepostfix"/>
        <w:shd w:val="clear" w:color="auto" w:fill="FFFFFF"/>
        <w:spacing w:before="0" w:beforeAutospacing="0" w:after="0" w:afterAutospacing="0"/>
        <w:ind w:left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Природоохранная прокуратура разъясняет</w:t>
      </w:r>
      <w:bookmarkStart w:id="0" w:name="_GoBack"/>
      <w:bookmarkEnd w:id="0"/>
    </w:p>
    <w:p w:rsidR="0092411E" w:rsidRDefault="0092411E" w:rsidP="0092411E">
      <w:pPr>
        <w:pStyle w:val="revannmailrucssattributepostfix"/>
        <w:shd w:val="clear" w:color="auto" w:fill="FFFFFF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</w:p>
    <w:p w:rsidR="000C3952" w:rsidRPr="00B51307" w:rsidRDefault="000C3952" w:rsidP="000C3952">
      <w:pPr>
        <w:pStyle w:val="revann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B51307">
        <w:rPr>
          <w:bCs/>
          <w:color w:val="000000" w:themeColor="text1"/>
          <w:sz w:val="28"/>
          <w:szCs w:val="28"/>
        </w:rPr>
        <w:t xml:space="preserve">Определены особенности осуществления любительской и спортивной охоты в отношении охотничьих ресурсов, находящихся в </w:t>
      </w:r>
      <w:proofErr w:type="spellStart"/>
      <w:r w:rsidRPr="00B51307">
        <w:rPr>
          <w:bCs/>
          <w:color w:val="000000" w:themeColor="text1"/>
          <w:sz w:val="28"/>
          <w:szCs w:val="28"/>
        </w:rPr>
        <w:t>полувольных</w:t>
      </w:r>
      <w:proofErr w:type="spellEnd"/>
      <w:r w:rsidRPr="00B51307">
        <w:rPr>
          <w:bCs/>
          <w:color w:val="000000" w:themeColor="text1"/>
          <w:sz w:val="28"/>
          <w:szCs w:val="28"/>
        </w:rPr>
        <w:t xml:space="preserve"> условиях и искусственно созданной среде обитания</w:t>
      </w:r>
    </w:p>
    <w:p w:rsidR="000C3952" w:rsidRPr="000C3952" w:rsidRDefault="0092411E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6" w:tgtFrame="_blank" w:history="1">
        <w:r w:rsidR="000C3952"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>Федеральны</w:t>
        </w:r>
        <w:r w:rsidR="000C3952">
          <w:rPr>
            <w:rStyle w:val="a4"/>
            <w:bCs/>
            <w:color w:val="000000" w:themeColor="text1"/>
            <w:sz w:val="28"/>
            <w:szCs w:val="28"/>
            <w:u w:val="none"/>
          </w:rPr>
          <w:t>м</w:t>
        </w:r>
        <w:r w:rsidR="000C3952"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 xml:space="preserve"> закон</w:t>
        </w:r>
        <w:r w:rsidR="000C3952">
          <w:rPr>
            <w:rStyle w:val="a4"/>
            <w:bCs/>
            <w:color w:val="000000" w:themeColor="text1"/>
            <w:sz w:val="28"/>
            <w:szCs w:val="28"/>
            <w:u w:val="none"/>
          </w:rPr>
          <w:t>ом</w:t>
        </w:r>
        <w:r w:rsidR="000C3952"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 xml:space="preserve"> от 18.02.2020 N 26-ФЗ</w:t>
        </w:r>
        <w:r w:rsidR="000C3952" w:rsidRPr="000C3952">
          <w:rPr>
            <w:bCs/>
            <w:color w:val="000000" w:themeColor="text1"/>
            <w:sz w:val="28"/>
            <w:szCs w:val="28"/>
          </w:rPr>
          <w:br/>
        </w:r>
        <w:r w:rsidR="000C3952"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>внесен</w:t>
        </w:r>
        <w:r w:rsidR="000C3952">
          <w:rPr>
            <w:rStyle w:val="a4"/>
            <w:bCs/>
            <w:color w:val="000000" w:themeColor="text1"/>
            <w:sz w:val="28"/>
            <w:szCs w:val="28"/>
            <w:u w:val="none"/>
          </w:rPr>
          <w:t>ы</w:t>
        </w:r>
        <w:r w:rsidR="000C3952"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 xml:space="preserve"> изменени</w:t>
        </w:r>
        <w:r w:rsidR="000C3952">
          <w:rPr>
            <w:rStyle w:val="a4"/>
            <w:bCs/>
            <w:color w:val="000000" w:themeColor="text1"/>
            <w:sz w:val="28"/>
            <w:szCs w:val="28"/>
            <w:u w:val="none"/>
          </w:rPr>
          <w:t>я</w:t>
        </w:r>
        <w:r w:rsidR="000C3952"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 xml:space="preserve"> в Федеральный закон "Об охоте и о сохранении охотничьих ресурсов и о внесении изменений в отдельные законодательные акты Российской Федерации" и Федеральный закон "О животном мире"</w:t>
        </w:r>
      </w:hyperlink>
      <w:r w:rsidR="000C3952">
        <w:rPr>
          <w:rStyle w:val="a4"/>
          <w:bCs/>
          <w:color w:val="000000" w:themeColor="text1"/>
          <w:sz w:val="28"/>
          <w:szCs w:val="28"/>
          <w:u w:val="none"/>
        </w:rPr>
        <w:t>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 xml:space="preserve">Так, установлено, что любительская и спортивная охота в отношении охотничьих ресурсов, находящихся в </w:t>
      </w:r>
      <w:proofErr w:type="spellStart"/>
      <w:r w:rsidRPr="00B51307">
        <w:rPr>
          <w:color w:val="000000" w:themeColor="text1"/>
          <w:sz w:val="28"/>
          <w:szCs w:val="28"/>
        </w:rPr>
        <w:t>полувольных</w:t>
      </w:r>
      <w:proofErr w:type="spellEnd"/>
      <w:r w:rsidRPr="00B51307">
        <w:rPr>
          <w:color w:val="000000" w:themeColor="text1"/>
          <w:sz w:val="28"/>
          <w:szCs w:val="28"/>
        </w:rPr>
        <w:t xml:space="preserve"> условиях и искусственно созданной среде обитания, осуществляется в закрепленных охотничьих угодьях охотником или работником юр</w:t>
      </w:r>
      <w:r>
        <w:rPr>
          <w:color w:val="000000" w:themeColor="text1"/>
          <w:sz w:val="28"/>
          <w:szCs w:val="28"/>
        </w:rPr>
        <w:t xml:space="preserve">идического </w:t>
      </w:r>
      <w:r w:rsidRPr="00B51307">
        <w:rPr>
          <w:color w:val="000000" w:themeColor="text1"/>
          <w:sz w:val="28"/>
          <w:szCs w:val="28"/>
        </w:rPr>
        <w:t>лица или индивидуального предпринимателя, при наличии путевки (документа, подтверждающего заключение договора об оказании услуг в сфере охотничьего хозяйства).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 xml:space="preserve">Уточнены порядок содержания и разведения охотничьих ресурсов в </w:t>
      </w:r>
      <w:proofErr w:type="spellStart"/>
      <w:r w:rsidRPr="00B51307">
        <w:rPr>
          <w:color w:val="000000" w:themeColor="text1"/>
          <w:sz w:val="28"/>
          <w:szCs w:val="28"/>
        </w:rPr>
        <w:t>полувольных</w:t>
      </w:r>
      <w:proofErr w:type="spellEnd"/>
      <w:r w:rsidRPr="00B51307">
        <w:rPr>
          <w:color w:val="000000" w:themeColor="text1"/>
          <w:sz w:val="28"/>
          <w:szCs w:val="28"/>
        </w:rPr>
        <w:t xml:space="preserve"> условиях и искусственно созданной среде обитания, а также положения, касающиеся охотничьей инфраструктуры.</w:t>
      </w:r>
    </w:p>
    <w:p w:rsidR="000C3952" w:rsidRPr="00B51307" w:rsidRDefault="000C3952" w:rsidP="000C3952">
      <w:pPr>
        <w:pStyle w:val="revann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B51307">
        <w:rPr>
          <w:bCs/>
          <w:color w:val="000000" w:themeColor="text1"/>
          <w:sz w:val="28"/>
          <w:szCs w:val="28"/>
        </w:rPr>
        <w:t>Закреплена процедура приостановления действия разрешения на добычу (вылов) крабов в инвестиционных целях</w:t>
      </w:r>
    </w:p>
    <w:p w:rsidR="000C3952" w:rsidRPr="000C3952" w:rsidRDefault="0092411E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7" w:tgtFrame="_blank" w:history="1">
        <w:r w:rsidR="000C3952"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>Постановлением Правительства РФ от 18.04.2020 N 549</w:t>
        </w:r>
        <w:r w:rsidR="000C3952" w:rsidRPr="000C3952">
          <w:rPr>
            <w:bCs/>
            <w:color w:val="000000" w:themeColor="text1"/>
            <w:sz w:val="28"/>
            <w:szCs w:val="28"/>
          </w:rPr>
          <w:br/>
        </w:r>
        <w:r w:rsidR="000C3952"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>внесены изменения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изменений.</w:t>
        </w:r>
      </w:hyperlink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 xml:space="preserve">Установлено, что действие разрешения, выданного на основании договора о закреплении и предоставлении доли квоты добычи (вылова) крабов в инвестиционных целях, приостанавливается до истечения срока его действия при установлении </w:t>
      </w:r>
      <w:proofErr w:type="spellStart"/>
      <w:r w:rsidRPr="00B51307">
        <w:rPr>
          <w:color w:val="000000" w:themeColor="text1"/>
          <w:sz w:val="28"/>
          <w:szCs w:val="28"/>
        </w:rPr>
        <w:t>Минпромторгом</w:t>
      </w:r>
      <w:proofErr w:type="spellEnd"/>
      <w:r w:rsidRPr="00B51307">
        <w:rPr>
          <w:color w:val="000000" w:themeColor="text1"/>
          <w:sz w:val="28"/>
          <w:szCs w:val="28"/>
        </w:rPr>
        <w:t xml:space="preserve"> России фактов, предусмотренных пунктами 1 - 3 части 4 статьи 33.8 Федерального закона "О рыболовстве и сохранении водных биологических ресурсов", которые являются основаниями для досрочного расторжения договора о закреплении и предоставлении доли квоты добычи (вылова) крабов в инвестиционных целях, до вступления в законную силу судебных актов о рассмотрении иска </w:t>
      </w:r>
      <w:proofErr w:type="spellStart"/>
      <w:r w:rsidRPr="00B51307">
        <w:rPr>
          <w:color w:val="000000" w:themeColor="text1"/>
          <w:sz w:val="28"/>
          <w:szCs w:val="28"/>
        </w:rPr>
        <w:t>Росрыболовства</w:t>
      </w:r>
      <w:proofErr w:type="spellEnd"/>
      <w:r w:rsidRPr="00B51307">
        <w:rPr>
          <w:color w:val="000000" w:themeColor="text1"/>
          <w:sz w:val="28"/>
          <w:szCs w:val="28"/>
        </w:rPr>
        <w:t xml:space="preserve"> о досрочном расторжении договора о закреплении и предоставлении доли квоты добычи (вылова) крабов в инвестиционных целях.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>Предусмотрен порядок приостановления и возобновления действия разрешения, скорректирован перечень сведений, указываемых в заявлении на выдачу разрешения, расширен перечень оснований для отказа в его выдаче.</w:t>
      </w:r>
    </w:p>
    <w:p w:rsidR="000C3952" w:rsidRPr="00EE5566" w:rsidRDefault="000C3952" w:rsidP="000C39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51307">
        <w:rPr>
          <w:bCs/>
          <w:color w:val="000000" w:themeColor="text1"/>
          <w:sz w:val="28"/>
          <w:szCs w:val="28"/>
        </w:rPr>
        <w:t xml:space="preserve">Проектная документация по капитальному ремонту объекта, относящегося </w:t>
      </w:r>
      <w:r w:rsidRPr="00EE5566">
        <w:rPr>
          <w:bCs/>
          <w:color w:val="000000" w:themeColor="text1"/>
          <w:sz w:val="28"/>
          <w:szCs w:val="28"/>
        </w:rPr>
        <w:t xml:space="preserve">к объектам I категории, будет отнесена к объектам государственной экологической экспертизы при условии соответствия </w:t>
      </w:r>
      <w:r w:rsidRPr="00EE5566">
        <w:rPr>
          <w:bCs/>
          <w:color w:val="000000" w:themeColor="text1"/>
          <w:sz w:val="28"/>
          <w:szCs w:val="28"/>
        </w:rPr>
        <w:lastRenderedPageBreak/>
        <w:t xml:space="preserve">требованиям, установленным Федеральным законом "Об экологической экспертизе 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5566">
        <w:rPr>
          <w:sz w:val="28"/>
          <w:szCs w:val="28"/>
        </w:rPr>
        <w:t xml:space="preserve">В соответствии с </w:t>
      </w:r>
      <w:hyperlink r:id="rId8" w:tgtFrame="_blank" w:history="1">
        <w:r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>Письмом Минприроды России от 11.06.2020 №  12-50/7046-ОГ «О проведении государственной экологической экспертизы»,</w:t>
        </w:r>
      </w:hyperlink>
      <w:r w:rsidRPr="000C3952">
        <w:rPr>
          <w:rStyle w:val="a4"/>
          <w:bCs/>
          <w:color w:val="000000" w:themeColor="text1"/>
          <w:sz w:val="28"/>
          <w:szCs w:val="28"/>
          <w:u w:val="none"/>
        </w:rPr>
        <w:t xml:space="preserve"> </w:t>
      </w:r>
      <w:r w:rsidRPr="00B51307">
        <w:rPr>
          <w:color w:val="000000" w:themeColor="text1"/>
          <w:sz w:val="28"/>
          <w:szCs w:val="28"/>
        </w:rPr>
        <w:t>проектная документация объектов капитального строительства, относящихся к объектам I категории, за исключением проектной документации буровых скважин, создаваемых на земельном участке, предоставленном пользователю недр и необходимом для регионального геологического изучения, геологического изучения, разведки и добычи нефти и природного газа, а также за исключением проектной документации объектов капитального строительства, предполагаемых к строительству, реконструкции в пределах одного или нескольких земельных участков, на которых расположен объект I категории, если это не повлечет за собой изменения, в том числе в соответствии с проектной документацией на выполнение работ, связанных с пользованием участками недр, областей применения наилучших доступных технологий, качественных и (или) количественных характеристик загрязняющих веществ, поступающих в окружающую среду, образуемых и (или) размещаемых отходов подлежит ГЭЭ федерального уровня.</w:t>
      </w:r>
    </w:p>
    <w:p w:rsidR="000C3952" w:rsidRPr="00EE5566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 xml:space="preserve">Федеральным органом исполнительной власти, осуществляющим функции по организации и проведению ГЭЭ федерального уровня, является </w:t>
      </w:r>
      <w:proofErr w:type="spellStart"/>
      <w:r w:rsidRPr="00B51307">
        <w:rPr>
          <w:color w:val="000000" w:themeColor="text1"/>
          <w:sz w:val="28"/>
          <w:szCs w:val="28"/>
        </w:rPr>
        <w:t>Росприроднадзор</w:t>
      </w:r>
      <w:proofErr w:type="spellEnd"/>
      <w:r w:rsidRPr="00B51307">
        <w:rPr>
          <w:color w:val="000000" w:themeColor="text1"/>
          <w:sz w:val="28"/>
          <w:szCs w:val="28"/>
        </w:rPr>
        <w:t xml:space="preserve">, который определяет, являются ли представленные материалы объектом </w:t>
      </w:r>
      <w:r w:rsidRPr="00EE5566">
        <w:rPr>
          <w:color w:val="000000" w:themeColor="text1"/>
          <w:sz w:val="28"/>
          <w:szCs w:val="28"/>
        </w:rPr>
        <w:t>экспертизы федерального уровня.</w:t>
      </w:r>
    </w:p>
    <w:p w:rsidR="000C3952" w:rsidRPr="00EE5566" w:rsidRDefault="000C3952" w:rsidP="000C3952">
      <w:pPr>
        <w:pStyle w:val="revann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E5566">
        <w:rPr>
          <w:bCs/>
          <w:color w:val="000000" w:themeColor="text1"/>
          <w:sz w:val="28"/>
          <w:szCs w:val="28"/>
        </w:rPr>
        <w:t>Разъяснен вопрос о разработке нормативов допустимых сбросов веществ и микроорганизмов в водные объекты для водопользователей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5566">
        <w:rPr>
          <w:sz w:val="28"/>
          <w:szCs w:val="28"/>
        </w:rPr>
        <w:t xml:space="preserve">В соответствии с </w:t>
      </w:r>
      <w:hyperlink r:id="rId9" w:tgtFrame="_blank" w:history="1">
        <w:r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 xml:space="preserve">Письмом </w:t>
        </w:r>
        <w:proofErr w:type="spellStart"/>
        <w:r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>Росводресурсов</w:t>
        </w:r>
        <w:proofErr w:type="spellEnd"/>
        <w:r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 xml:space="preserve"> от 02.06.2020 N ВН-02-35/3882 «О разработке нормативов допустимых сбросов»</w:t>
        </w:r>
      </w:hyperlink>
      <w:r w:rsidRPr="000C3952">
        <w:rPr>
          <w:color w:val="000000" w:themeColor="text1"/>
          <w:sz w:val="28"/>
          <w:szCs w:val="28"/>
        </w:rPr>
        <w:t xml:space="preserve"> </w:t>
      </w:r>
      <w:r w:rsidRPr="00EE5566">
        <w:rPr>
          <w:color w:val="000000" w:themeColor="text1"/>
          <w:sz w:val="28"/>
          <w:szCs w:val="28"/>
        </w:rPr>
        <w:t xml:space="preserve">отдельной процедуры по согласованию и утверждению </w:t>
      </w:r>
      <w:proofErr w:type="spellStart"/>
      <w:r w:rsidRPr="00EE5566">
        <w:rPr>
          <w:color w:val="000000" w:themeColor="text1"/>
          <w:sz w:val="28"/>
          <w:szCs w:val="28"/>
        </w:rPr>
        <w:t>Росводресурсами</w:t>
      </w:r>
      <w:proofErr w:type="spellEnd"/>
      <w:r w:rsidRPr="00EE5566">
        <w:rPr>
          <w:color w:val="000000" w:themeColor="text1"/>
          <w:sz w:val="28"/>
          <w:szCs w:val="28"/>
        </w:rPr>
        <w:t xml:space="preserve"> нормативов допустимых сбросов (НДС), рассчитанных юридическими</w:t>
      </w:r>
      <w:r w:rsidRPr="00B51307">
        <w:rPr>
          <w:color w:val="000000" w:themeColor="text1"/>
          <w:sz w:val="28"/>
          <w:szCs w:val="28"/>
        </w:rPr>
        <w:t xml:space="preserve"> лицами и индивидуальными предпринимателями, осуществляющими хозяйственную и (или) иную деятельность на объектах II, III, IV категорий, не предусмотрено.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>Для объектов I категории допускается возможность выдачи и переоформления разрешений на сбросы загрязняющих веществ в окружающую среду юридическим лицам и индивидуальным предпринимателям с 01.01.2019 и до получения комплексного экологического разрешения (КЭР).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>Для стационарных источников, находящихся на объекте I категории, требуется либо расчет НДС для включения его в заявку на получение КЭР, либо расчет и утверждение НДС для получения разрешения на сбросы загрязняющих веществ в окружающую среду.</w:t>
      </w:r>
    </w:p>
    <w:p w:rsidR="000C3952" w:rsidRPr="00EE5566" w:rsidRDefault="000C3952" w:rsidP="000C3952">
      <w:pPr>
        <w:pStyle w:val="revann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E5566">
        <w:rPr>
          <w:bCs/>
          <w:color w:val="000000" w:themeColor="text1"/>
          <w:sz w:val="28"/>
          <w:szCs w:val="28"/>
        </w:rPr>
        <w:t>Разъяснен вопрос учета выбросов нестационарного источника при расчете химического воздействия на окружающую среду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5566">
        <w:rPr>
          <w:sz w:val="28"/>
          <w:szCs w:val="28"/>
        </w:rPr>
        <w:t xml:space="preserve">В соответствии с </w:t>
      </w:r>
      <w:hyperlink r:id="rId10" w:tgtFrame="_blank" w:history="1">
        <w:r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 xml:space="preserve">Письмом </w:t>
        </w:r>
        <w:proofErr w:type="spellStart"/>
        <w:r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>Роспотребнадзора</w:t>
        </w:r>
        <w:proofErr w:type="spellEnd"/>
        <w:r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 xml:space="preserve"> от 28.05.2020 N 09-7700-2020-40 «О рассмотрении обращения»</w:t>
        </w:r>
      </w:hyperlink>
      <w:r w:rsidRPr="00B51307">
        <w:rPr>
          <w:color w:val="000000" w:themeColor="text1"/>
          <w:sz w:val="28"/>
          <w:szCs w:val="28"/>
        </w:rPr>
        <w:t xml:space="preserve"> при установлении неблагоприятных условий выброса загрязняющих веществ в атмосферный воздух и подготовке исходных данных для расчета концентраций загрязняющих веществ должна </w:t>
      </w:r>
      <w:r w:rsidRPr="00B51307">
        <w:rPr>
          <w:color w:val="000000" w:themeColor="text1"/>
          <w:sz w:val="28"/>
          <w:szCs w:val="28"/>
        </w:rPr>
        <w:lastRenderedPageBreak/>
        <w:t xml:space="preserve">учитываться </w:t>
      </w:r>
      <w:proofErr w:type="spellStart"/>
      <w:r w:rsidRPr="00B51307">
        <w:rPr>
          <w:color w:val="000000" w:themeColor="text1"/>
          <w:sz w:val="28"/>
          <w:szCs w:val="28"/>
        </w:rPr>
        <w:t>нестационарность</w:t>
      </w:r>
      <w:proofErr w:type="spellEnd"/>
      <w:r w:rsidRPr="00B51307">
        <w:rPr>
          <w:color w:val="000000" w:themeColor="text1"/>
          <w:sz w:val="28"/>
          <w:szCs w:val="28"/>
        </w:rPr>
        <w:t xml:space="preserve"> мощностей и других параметров выброса источников выбросов и их совокупностей (в течение суток, года, технологических циклов).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>При постановке объектов на учет сохраняется единый принцип учета выбросов по каждому объекту.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>При поведении санитарно-эпидемиологической экспертизы предметом оценки является объект воздействия на окружающую среду. Проведение санитарно-эпидемиологической экспертизы по отдельным объектам (промышленным площадкам) осуществляется в соответствии с законодательством.</w:t>
      </w:r>
    </w:p>
    <w:p w:rsidR="000C3952" w:rsidRPr="00EE5566" w:rsidRDefault="000C3952" w:rsidP="000C3952">
      <w:pPr>
        <w:pStyle w:val="revann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B51307">
        <w:rPr>
          <w:bCs/>
          <w:color w:val="000000" w:themeColor="text1"/>
          <w:sz w:val="28"/>
          <w:szCs w:val="28"/>
        </w:rPr>
        <w:t xml:space="preserve">К участкам недр федерального значения будут относиться только участки, </w:t>
      </w:r>
      <w:r w:rsidRPr="00EE5566">
        <w:rPr>
          <w:bCs/>
          <w:color w:val="000000" w:themeColor="text1"/>
          <w:sz w:val="28"/>
          <w:szCs w:val="28"/>
        </w:rPr>
        <w:t>содержащие коренные (рудные) месторождения лития</w:t>
      </w:r>
    </w:p>
    <w:p w:rsidR="000C3952" w:rsidRPr="000C3952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5566">
        <w:rPr>
          <w:sz w:val="28"/>
          <w:szCs w:val="28"/>
        </w:rPr>
        <w:t xml:space="preserve">В соответствии с </w:t>
      </w:r>
      <w:hyperlink r:id="rId11" w:tgtFrame="_blank" w:history="1">
        <w:r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>Федеральным законом от 08.06.2020 N 179-ФЗ</w:t>
        </w:r>
        <w:r w:rsidRPr="000C3952">
          <w:rPr>
            <w:bCs/>
            <w:color w:val="000000" w:themeColor="text1"/>
            <w:sz w:val="28"/>
            <w:szCs w:val="28"/>
          </w:rPr>
          <w:br/>
        </w:r>
        <w:r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>внесены изменения в Закон Российской Федерации "О недрах" в части совершенствования добычи полезных ископаемых, не относящихся к углеводородному сырью, из подземных вод, попутных вод и вод, используемых для собственных производственных и технологических нужд, при разведке и добыче углеводородного сырья.</w:t>
        </w:r>
      </w:hyperlink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</w:t>
      </w:r>
      <w:r w:rsidRPr="00B51307">
        <w:rPr>
          <w:color w:val="000000" w:themeColor="text1"/>
          <w:sz w:val="28"/>
          <w:szCs w:val="28"/>
        </w:rPr>
        <w:t>, установлено, что к участкам недр федерального значения относятся не все участки недр, содержащие месторождения лития, как было установлено Законом РФ "О недрах", а только содержащие коренные (рудные) месторождения этого металла.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>К полномочиям органов государственной власти в сфере регулирования отношений недропользования отнесено установление порядка добычи полезных ископаемых, не относящихся к углеводородному сырью, из подземных вод, попутных вод и вод, используемых для собственных производственных и технологических нужд.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 xml:space="preserve">Пользователи недр, которые осуществляют геологическое изучение, разведку и добычу полезных ископаемых или по совмещенной лицензии геологическое изучение, разведку и добычу полезных ископаемых в границах предоставленных им горных отводов и (или) геологических отводов, получили право осуществлять добычу попутных полезных ископаемых (за исключением попутных вод, углеводородного сырья и общераспространенных полезных ископаемых), не указанных в лицензиях. Ранее такое право было предоставлено только юридическим лицам с </w:t>
      </w:r>
      <w:proofErr w:type="spellStart"/>
      <w:r w:rsidRPr="00B51307">
        <w:rPr>
          <w:color w:val="000000" w:themeColor="text1"/>
          <w:sz w:val="28"/>
          <w:szCs w:val="28"/>
        </w:rPr>
        <w:t>госучастием</w:t>
      </w:r>
      <w:proofErr w:type="spellEnd"/>
      <w:r w:rsidRPr="00B51307">
        <w:rPr>
          <w:color w:val="000000" w:themeColor="text1"/>
          <w:sz w:val="28"/>
          <w:szCs w:val="28"/>
        </w:rPr>
        <w:t>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>Федеральный закон вступает в силу по истечении девяноста дней после дня его официального опубликования.</w:t>
      </w:r>
    </w:p>
    <w:p w:rsidR="000C3952" w:rsidRPr="00B51307" w:rsidRDefault="000C3952" w:rsidP="000C3952">
      <w:pPr>
        <w:pStyle w:val="revann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B51307">
        <w:rPr>
          <w:bCs/>
          <w:color w:val="000000" w:themeColor="text1"/>
          <w:sz w:val="28"/>
          <w:szCs w:val="28"/>
        </w:rPr>
        <w:t>Оптимизирован порядок организации искусственного воспроизводства водных биоресурсов</w:t>
      </w:r>
    </w:p>
    <w:p w:rsidR="000C3952" w:rsidRPr="000C3952" w:rsidRDefault="0092411E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12" w:tgtFrame="_blank" w:history="1">
        <w:r w:rsidR="000C3952"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>Постановлением Правительства РФ от 30.05.2020 № 798</w:t>
        </w:r>
        <w:r w:rsidR="000C3952" w:rsidRPr="000C3952">
          <w:rPr>
            <w:bCs/>
            <w:color w:val="000000" w:themeColor="text1"/>
            <w:sz w:val="28"/>
            <w:szCs w:val="28"/>
          </w:rPr>
          <w:br/>
        </w:r>
        <w:r w:rsidR="000C3952" w:rsidRPr="000C3952">
          <w:rPr>
            <w:rStyle w:val="a4"/>
            <w:bCs/>
            <w:color w:val="000000" w:themeColor="text1"/>
            <w:sz w:val="28"/>
            <w:szCs w:val="28"/>
            <w:u w:val="none"/>
          </w:rPr>
          <w:t>внесены изменения в Правила организации искусственного воспроизводства водных биологических ресурсов.</w:t>
        </w:r>
      </w:hyperlink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 xml:space="preserve">Уточнено, что учреждения, находящиеся в ведении </w:t>
      </w:r>
      <w:proofErr w:type="spellStart"/>
      <w:r w:rsidRPr="00B51307">
        <w:rPr>
          <w:color w:val="000000" w:themeColor="text1"/>
          <w:sz w:val="28"/>
          <w:szCs w:val="28"/>
        </w:rPr>
        <w:t>Росрыболовства</w:t>
      </w:r>
      <w:proofErr w:type="spellEnd"/>
      <w:r w:rsidRPr="00B51307">
        <w:rPr>
          <w:color w:val="000000" w:themeColor="text1"/>
          <w:sz w:val="28"/>
          <w:szCs w:val="28"/>
        </w:rPr>
        <w:t xml:space="preserve">, осуществляющие искусственное воспроизводство водных биоресурсов в </w:t>
      </w:r>
      <w:r w:rsidRPr="00B51307">
        <w:rPr>
          <w:color w:val="000000" w:themeColor="text1"/>
          <w:sz w:val="28"/>
          <w:szCs w:val="28"/>
        </w:rPr>
        <w:lastRenderedPageBreak/>
        <w:t xml:space="preserve">соответствии с </w:t>
      </w:r>
      <w:proofErr w:type="spellStart"/>
      <w:r w:rsidRPr="00B51307">
        <w:rPr>
          <w:color w:val="000000" w:themeColor="text1"/>
          <w:sz w:val="28"/>
          <w:szCs w:val="28"/>
        </w:rPr>
        <w:t>госзаданием</w:t>
      </w:r>
      <w:proofErr w:type="spellEnd"/>
      <w:r w:rsidRPr="00B51307">
        <w:rPr>
          <w:color w:val="000000" w:themeColor="text1"/>
          <w:sz w:val="28"/>
          <w:szCs w:val="28"/>
        </w:rPr>
        <w:t xml:space="preserve">, вправе реализовывать добытые (выловленные) водные биоресурсы (за исключением добытых (выловленных) осетровых видов рыб, предоставленных в пользование для осуществления рыболовства в целях </w:t>
      </w:r>
      <w:proofErr w:type="spellStart"/>
      <w:r w:rsidRPr="00B51307">
        <w:rPr>
          <w:color w:val="000000" w:themeColor="text1"/>
          <w:sz w:val="28"/>
          <w:szCs w:val="28"/>
        </w:rPr>
        <w:t>аквакультуры</w:t>
      </w:r>
      <w:proofErr w:type="spellEnd"/>
      <w:r w:rsidRPr="00B51307">
        <w:rPr>
          <w:color w:val="000000" w:themeColor="text1"/>
          <w:sz w:val="28"/>
          <w:szCs w:val="28"/>
        </w:rPr>
        <w:t xml:space="preserve"> (рыбоводства), а также редких и находящихся под угрозой исчезновения водных биоресурсов, занесенных в Красную книгу РФ) после их использования в целях искусственного воспроизводства водных биоресурсов, а также молодь (личинки) водных биоресурсов (в том числе осетровых видов рыб, за исключением редких и находящихся под угрозой исчезновения осетровых видов рыб, занесенных в Красную книгу РФ), полученную при осуществлении искусственного воспроизводства водных биоресурсов в рамках выполнения </w:t>
      </w:r>
      <w:proofErr w:type="spellStart"/>
      <w:r w:rsidRPr="00B51307">
        <w:rPr>
          <w:color w:val="000000" w:themeColor="text1"/>
          <w:sz w:val="28"/>
          <w:szCs w:val="28"/>
        </w:rPr>
        <w:t>госзадания</w:t>
      </w:r>
      <w:proofErr w:type="spellEnd"/>
      <w:r w:rsidRPr="00B51307">
        <w:rPr>
          <w:color w:val="000000" w:themeColor="text1"/>
          <w:sz w:val="28"/>
          <w:szCs w:val="28"/>
        </w:rPr>
        <w:t xml:space="preserve"> на оказание </w:t>
      </w:r>
      <w:proofErr w:type="spellStart"/>
      <w:r w:rsidRPr="00B51307">
        <w:rPr>
          <w:color w:val="000000" w:themeColor="text1"/>
          <w:sz w:val="28"/>
          <w:szCs w:val="28"/>
        </w:rPr>
        <w:t>госуслуг</w:t>
      </w:r>
      <w:proofErr w:type="spellEnd"/>
      <w:r w:rsidRPr="00B51307">
        <w:rPr>
          <w:color w:val="000000" w:themeColor="text1"/>
          <w:sz w:val="28"/>
          <w:szCs w:val="28"/>
        </w:rPr>
        <w:t xml:space="preserve"> (выполнение работ), при условии достижения (выполнения) ими показателей </w:t>
      </w:r>
      <w:proofErr w:type="spellStart"/>
      <w:r w:rsidRPr="00B51307">
        <w:rPr>
          <w:color w:val="000000" w:themeColor="text1"/>
          <w:sz w:val="28"/>
          <w:szCs w:val="28"/>
        </w:rPr>
        <w:t>госзадания</w:t>
      </w:r>
      <w:proofErr w:type="spellEnd"/>
      <w:r w:rsidRPr="00B51307">
        <w:rPr>
          <w:color w:val="000000" w:themeColor="text1"/>
          <w:sz w:val="28"/>
          <w:szCs w:val="28"/>
        </w:rPr>
        <w:t xml:space="preserve">, что подтверждается комиссией, осуществляющей контроль за выполнением работ по искусственному воспроизводству водных биоресурсов, создаваемой территориальными органами </w:t>
      </w:r>
      <w:proofErr w:type="spellStart"/>
      <w:r w:rsidRPr="00B51307">
        <w:rPr>
          <w:color w:val="000000" w:themeColor="text1"/>
          <w:sz w:val="28"/>
          <w:szCs w:val="28"/>
        </w:rPr>
        <w:t>Росрыболовства</w:t>
      </w:r>
      <w:proofErr w:type="spellEnd"/>
      <w:r w:rsidRPr="00B51307">
        <w:rPr>
          <w:color w:val="000000" w:themeColor="text1"/>
          <w:sz w:val="28"/>
          <w:szCs w:val="28"/>
        </w:rPr>
        <w:t>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>Решение учреждения о реализации излишне полученной молоди принимается на основании решения комиссии.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>Излишне полученная молодь редких и находящихся под угрозой исчезновения водных биоресурсов, занесенных в Красную книгу РФ, подлежит выпуску в естественную среду обитания в целях сохранения водных биоресурсов с соблюдением законодательства в области охраны окружающей среды.</w:t>
      </w:r>
    </w:p>
    <w:p w:rsidR="000C3952" w:rsidRPr="00B51307" w:rsidRDefault="000C3952" w:rsidP="000C39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1307">
        <w:rPr>
          <w:color w:val="000000" w:themeColor="text1"/>
          <w:sz w:val="28"/>
          <w:szCs w:val="28"/>
        </w:rPr>
        <w:t>В случае если физическое состояние редких и находящихся под угрозой исчезновения водных биоресурсов, занесенных в Красную книгу РФ, после их использования в целях осуществления искусственного воспроизводства водных биоресурсов, в том числе излишне полученной молоди, не позволяет выпустить их в естественную среду обитания, то последующее обращение таких водных биоресурсов регулируется законодательством в области охраны окружающей среды и ветеринарным законодательством РФ.</w:t>
      </w:r>
    </w:p>
    <w:p w:rsidR="000C3952" w:rsidRPr="00B51307" w:rsidRDefault="000C3952" w:rsidP="000C395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0C3952" w:rsidRPr="00B51307" w:rsidRDefault="000C3952" w:rsidP="000C395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0C3952" w:rsidRPr="00B51307" w:rsidRDefault="000C3952" w:rsidP="000C395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0C3952" w:rsidRPr="00B51307" w:rsidRDefault="000C3952" w:rsidP="000C39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40C" w:rsidRDefault="0015140C"/>
    <w:sectPr w:rsidR="0015140C" w:rsidSect="0014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2F76"/>
    <w:multiLevelType w:val="hybridMultilevel"/>
    <w:tmpl w:val="D76A832E"/>
    <w:lvl w:ilvl="0" w:tplc="0BB6C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7A6"/>
    <w:rsid w:val="000C3952"/>
    <w:rsid w:val="00142534"/>
    <w:rsid w:val="0015140C"/>
    <w:rsid w:val="003D4D4F"/>
    <w:rsid w:val="00635B17"/>
    <w:rsid w:val="0092411E"/>
    <w:rsid w:val="00C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952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0C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mrcssattr">
    <w:name w:val="rev_ann_mr_css_attr"/>
    <w:basedOn w:val="a"/>
    <w:rsid w:val="000C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abinet/stat/fd/2020-06-29/click/consultant/?dst=http%3A%2F%2Fwww.consultant.ru%2Fdocument%2Fcons_doc_LAW_341695%2F%23utm_campaign%3Dfd%26utm_source%3Dconsultant%26utm_medium%3Demail%26utm_content%3Dbod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abinet/stat/fd/2020-04-23/click/consultant/?dst=http%3A%2F%2Fwww.consultant.ru%2Fdocument%2Fcons_doc_LAW_350907%2F%23utm_campaign%3Dfd%26utm_source%3Dconsultant%26utm_medium%3Demail%26utm_content%3Dbody" TargetMode="External"/><Relationship Id="rId12" Type="http://schemas.openxmlformats.org/officeDocument/2006/relationships/hyperlink" Target="http://www.consultant.ru/cabinet/stat/fd/2020-06-04/click/consultant/?dst=http%3A%2F%2Fwww.consultant.ru%2Fdocument%2Fcons_doc_LAW_354060%2F%23utm_campaign%3Dfd%26utm_source%3Dconsultant%26utm_medium%3Demail%26utm_content%3Db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abinet/stat/fd/2020-02-20/click/consultant/?dst=http%3A%2F%2Fwww.consultant.ru%2Fdocument%2Fcons_doc_LAW_345767%2F%23utm_campaign%3Dfd%26utm_source%3Dconsultant%26utm_medium%3Demail%26utm_content%3Dbody" TargetMode="External"/><Relationship Id="rId11" Type="http://schemas.openxmlformats.org/officeDocument/2006/relationships/hyperlink" Target="http://www.consultant.ru/cabinet/stat/fd/2020-06-09/click/consultant/?dst=http%3A%2F%2Fwww.consultant.ru%2Fdocument%2Fcons_doc_LAW_354480%2F%23utm_campaign%3Dfd%26utm_source%3Dconsultant%26utm_medium%3Demail%26utm_content%3Dbo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abinet/stat/fd/2020-06-11/click/consultant/?dst=http%3A%2F%2Fwww.consultant.ru%2Flaw%2Freview%2Flink%2F%3Fid%3D207631598%23utm_campaign%3Dfd%26utm_source%3Dconsultant%26utm_medium%3Demail%26utm_content%3Db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abinet/stat/fd/2020-06-15/click/consultant/?dst=http%3A%2F%2Fwww.consultant.ru%2Fdocument%2Fcons_doc_LAW_354728%2F%23utm_campaign%3Dfd%26utm_source%3Dconsultant%26utm_medium%3Demail%26utm_content%3Dbo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Abp-mproc-vmpp</dc:creator>
  <cp:lastModifiedBy>Олейникова Галина Викторовна</cp:lastModifiedBy>
  <cp:revision>4</cp:revision>
  <dcterms:created xsi:type="dcterms:W3CDTF">2020-07-09T04:51:00Z</dcterms:created>
  <dcterms:modified xsi:type="dcterms:W3CDTF">2020-07-10T01:51:00Z</dcterms:modified>
</cp:coreProperties>
</file>