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A4" w:rsidRPr="009A66A4" w:rsidRDefault="009A66A4" w:rsidP="009A66A4">
      <w:pPr>
        <w:shd w:val="clear" w:color="auto" w:fill="FFFFFF"/>
        <w:spacing w:after="115" w:line="240" w:lineRule="auto"/>
        <w:outlineLvl w:val="0"/>
        <w:rPr>
          <w:rFonts w:ascii="Arial" w:eastAsia="Times New Roman" w:hAnsi="Arial" w:cs="Arial"/>
          <w:color w:val="203168"/>
          <w:kern w:val="36"/>
          <w:sz w:val="37"/>
          <w:szCs w:val="37"/>
          <w:lang w:eastAsia="ru-RU"/>
        </w:rPr>
      </w:pPr>
      <w:r w:rsidRPr="009A66A4">
        <w:rPr>
          <w:rFonts w:ascii="Arial" w:eastAsia="Times New Roman" w:hAnsi="Arial" w:cs="Arial"/>
          <w:color w:val="203168"/>
          <w:kern w:val="36"/>
          <w:sz w:val="37"/>
          <w:szCs w:val="37"/>
          <w:lang w:eastAsia="ru-RU"/>
        </w:rPr>
        <w:t>Минстрой подготовил стратегию развития строительной отрасли и ЖКХ</w:t>
      </w:r>
    </w:p>
    <w:p w:rsidR="009A66A4" w:rsidRPr="009A66A4" w:rsidRDefault="009A66A4" w:rsidP="009A6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7198"/>
          <w:sz w:val="17"/>
          <w:szCs w:val="17"/>
          <w:lang w:eastAsia="ru-RU"/>
        </w:rPr>
      </w:pPr>
      <w:r w:rsidRPr="009A66A4">
        <w:rPr>
          <w:rFonts w:ascii="Arial" w:eastAsia="Times New Roman" w:hAnsi="Arial" w:cs="Arial"/>
          <w:color w:val="657198"/>
          <w:sz w:val="17"/>
          <w:szCs w:val="17"/>
          <w:lang w:eastAsia="ru-RU"/>
        </w:rPr>
        <w:br/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Минстрой России </w:t>
      </w:r>
      <w:hyperlink r:id="rId4" w:tgtFrame="_blank" w:history="1">
        <w:r w:rsidRPr="009A66A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опубликовал </w:t>
        </w:r>
      </w:hyperlink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прое</w:t>
      </w:r>
      <w:proofErr w:type="gramStart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кт Стр</w:t>
      </w:r>
      <w:proofErr w:type="gramEnd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атегии развития строительной отрасли и жилищно-коммунального хозяйства Российской Федерации до 2030 года с прогнозом на период до 2035 года.</w:t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 xml:space="preserve">Основные цели стратегии - повышение комфорта, качества и уровня жизни граждан; формирование высокотехнологичных, конкурентоспособных отраслей строительства и ЖКХ; минимизация негативного воздействия на окружающую среду. Как следует из документа, к 2030 году планируется ежегодно вводить не менее 120 </w:t>
      </w:r>
      <w:proofErr w:type="spellStart"/>
      <w:proofErr w:type="gramStart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млн</w:t>
      </w:r>
      <w:proofErr w:type="spellEnd"/>
      <w:proofErr w:type="gramEnd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 xml:space="preserve"> кв. м жилья и улучшать жилищные условия не менее 5 </w:t>
      </w:r>
      <w:proofErr w:type="spellStart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млн</w:t>
      </w:r>
      <w:proofErr w:type="spellEnd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 xml:space="preserve"> семей. Доля населения, удовлетворенного предоставляемыми жилищными услугами превысит 75%.</w:t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Мероприятия стратегии реализуются в два этапа: с 2020 года по 2024 год и с 2025 года по 2030 год.</w:t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Ключевыми направлениями стратегии являются обновление существующей коммунальной инфраструктуры, планирование и создание устойчивых транспортных каркасов и улично-дорожной сети городов, а также содействие в создании инфраструктуры для инвестиционных проектов, в том числе с использованием ГЧП и инструментов «Инфраструктурного меню».</w:t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Проектом стратегии установлено, что использование механизмов ГЧП при реализации проектов в сфере ЖКХ имеет особое значение для развития отрасли. Отмечается, что реализация указанных проектов с применением инструмента концессий позволит не только привлечь необходимые инвестиции в отрасль, но и обеспечить комплексное развитие инфраструктурных объектов, повысить уровень качества коммунальных услуг.</w:t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 xml:space="preserve">Отдельное внимание уделено развитию транспортной инфраструктуры. Основными задачами в </w:t>
      </w:r>
      <w:proofErr w:type="gramStart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этом</w:t>
      </w:r>
      <w:proofErr w:type="gramEnd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 xml:space="preserve"> направлении являются ликвидация инфраструктурных ограничений, повышение транспортной связности центров экономического роста и доступности территорий, увеличение объема и скорости транспортной логистики, цифровая трансформация процессов строительства и оказания услуг.</w:t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Также планируется сформировать комфортную городскую среду с помощью создания благоустроенных общественных пространств, дворовых территорий, применения современных ландшафтно-</w:t>
      </w: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lastRenderedPageBreak/>
        <w:t>строительных инновационных технологий, развития цифровых экосистем и сервисов. С целью оценки состояния городской среды разработан индекс качества городской среды. В рамках реализации стратегии к 2030 году, в частности, планируется сократить количество городов с неблагоприятной городской средой в три раза по сравнению с 2019 годом, улучшить качество городской среды в полтора раза по отношению к 2019 году, благоустроить не менее 62 265 общественных территорий.</w:t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proofErr w:type="gramStart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 xml:space="preserve">Основными задачами стратегии в целях развития коммунальной инфраструктуры являются кардинальное обновление основных фондов коммунального хозяйства, в том числе строительство и реконструкция объектов питьевого водоснабжения и очистных сооружений водопроводно-канализационного хозяйства; сохранение доступности ресурса для конечного потребителя; повышение экономической эффективности, надежности и качества </w:t>
      </w:r>
      <w:proofErr w:type="spellStart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ресурсоснабжения</w:t>
      </w:r>
      <w:proofErr w:type="spellEnd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 xml:space="preserve"> потребителей, развитие возобновляемых источников электроэнергии; изменение подходов поддержки социально незащищенных слоев населения;</w:t>
      </w:r>
      <w:proofErr w:type="gramEnd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 xml:space="preserve"> совершенствование концессионного законодательства.</w:t>
      </w:r>
    </w:p>
    <w:p w:rsidR="009A66A4" w:rsidRPr="009A66A4" w:rsidRDefault="009A66A4" w:rsidP="009A66A4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Реализация стратегии, как следует из документа, будет осуществляться за счет средств бюджета, за счет финансовых инструментов «Инфраструктурного меню», а также за счет внебюджетных средств (тариф, плату за технологическое присоединение (подключение)), в том числе с использованием механизма ГЧП.</w:t>
      </w:r>
    </w:p>
    <w:p w:rsidR="009A66A4" w:rsidRPr="009A66A4" w:rsidRDefault="009A66A4" w:rsidP="009A6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D89"/>
          <w:sz w:val="28"/>
          <w:szCs w:val="28"/>
          <w:lang w:eastAsia="ru-RU"/>
        </w:rPr>
      </w:pPr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Прое</w:t>
      </w:r>
      <w:proofErr w:type="gramStart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кт стр</w:t>
      </w:r>
      <w:proofErr w:type="gramEnd"/>
      <w:r w:rsidRPr="009A66A4">
        <w:rPr>
          <w:rFonts w:ascii="Arial" w:eastAsia="Times New Roman" w:hAnsi="Arial" w:cs="Arial"/>
          <w:color w:val="4F5D89"/>
          <w:sz w:val="28"/>
          <w:szCs w:val="28"/>
          <w:lang w:eastAsia="ru-RU"/>
        </w:rPr>
        <w:t>атегии проходит стадию общественных обсуждений, которые завершатся 31 октября 2021 года.</w:t>
      </w:r>
    </w:p>
    <w:p w:rsidR="004B6F51" w:rsidRPr="009A66A4" w:rsidRDefault="004B6F51" w:rsidP="009A66A4">
      <w:pPr>
        <w:jc w:val="both"/>
        <w:rPr>
          <w:sz w:val="28"/>
          <w:szCs w:val="28"/>
        </w:rPr>
      </w:pPr>
    </w:p>
    <w:sectPr w:rsidR="004B6F51" w:rsidRPr="009A66A4" w:rsidSect="004B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A66A4"/>
    <w:rsid w:val="004B6F51"/>
    <w:rsid w:val="009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51"/>
  </w:style>
  <w:style w:type="paragraph" w:styleId="1">
    <w:name w:val="heading 1"/>
    <w:basedOn w:val="a"/>
    <w:link w:val="10"/>
    <w:uiPriority w:val="9"/>
    <w:qFormat/>
    <w:rsid w:val="009A6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9A66A4"/>
  </w:style>
  <w:style w:type="character" w:customStyle="1" w:styleId="metatime-changer">
    <w:name w:val="meta__time-changer"/>
    <w:basedOn w:val="a0"/>
    <w:rsid w:val="009A66A4"/>
  </w:style>
  <w:style w:type="character" w:styleId="a3">
    <w:name w:val="Hyperlink"/>
    <w:basedOn w:val="a0"/>
    <w:uiPriority w:val="99"/>
    <w:semiHidden/>
    <w:unhideWhenUsed/>
    <w:rsid w:val="009A66A4"/>
    <w:rPr>
      <w:color w:val="0000FF"/>
      <w:u w:val="single"/>
    </w:rPr>
  </w:style>
  <w:style w:type="character" w:customStyle="1" w:styleId="articlephoto-label">
    <w:name w:val="article__photo-label"/>
    <w:basedOn w:val="a0"/>
    <w:rsid w:val="009A66A4"/>
  </w:style>
  <w:style w:type="paragraph" w:customStyle="1" w:styleId="ql-align-justify">
    <w:name w:val="ql-align-justify"/>
    <w:basedOn w:val="a"/>
    <w:rsid w:val="009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title">
    <w:name w:val="tag__title"/>
    <w:basedOn w:val="a0"/>
    <w:rsid w:val="009A66A4"/>
  </w:style>
  <w:style w:type="paragraph" w:styleId="a4">
    <w:name w:val="Balloon Text"/>
    <w:basedOn w:val="a"/>
    <w:link w:val="a5"/>
    <w:uiPriority w:val="99"/>
    <w:semiHidden/>
    <w:unhideWhenUsed/>
    <w:rsid w:val="009A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2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91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810">
          <w:marLeft w:val="0"/>
          <w:marRight w:val="0"/>
          <w:marTop w:val="0"/>
          <w:marBottom w:val="0"/>
          <w:divBdr>
            <w:top w:val="single" w:sz="4" w:space="17" w:color="F2F3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571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rf.gov.ru/docs/18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2021-10-19T01:33:00Z</dcterms:created>
  <dcterms:modified xsi:type="dcterms:W3CDTF">2021-10-19T01:40:00Z</dcterms:modified>
</cp:coreProperties>
</file>