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Утвержден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 ревизионной комиссии Партизанского муниципального округа Приморского края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14.09.2023 № 23-ро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Стандарт внешнего муниципального финансового контроля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«Экспертиза проектов муниципальных программ Партизанского муниципального округа»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Действует с 01.09.2023</w:t>
      </w:r>
      <w:bookmarkStart w:id="0" w:name="_GoBack"/>
      <w:bookmarkEnd w:id="0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36"/>
        <w:gridCol w:w="7052"/>
        <w:gridCol w:w="1810"/>
      </w:tblGrid>
      <w:tr>
        <w:trPr>
          <w:trHeight w:val="487" w:hRule="atLeast"/>
        </w:trPr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spacing w:lineRule="auto" w:line="36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Общие положения</w:t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360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Требования и правила проведения экспертизы</w:t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36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Требования к оформлению результатов экспертизы</w:t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6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bookmarkStart w:id="1" w:name="_Toc324753702"/>
      <w:bookmarkStart w:id="2" w:name="_Toc311946838"/>
      <w:r>
        <w:rPr>
          <w:b/>
          <w:sz w:val="28"/>
          <w:szCs w:val="28"/>
        </w:rPr>
        <w:t>1. Общие положения</w:t>
      </w:r>
      <w:bookmarkEnd w:id="1"/>
      <w:bookmarkEnd w:id="2"/>
    </w:p>
    <w:p>
      <w:pPr>
        <w:pStyle w:val="Normal"/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Стандарт </w:t>
      </w:r>
      <w:r>
        <w:rPr>
          <w:bCs/>
          <w:sz w:val="28"/>
          <w:szCs w:val="28"/>
        </w:rPr>
        <w:t xml:space="preserve">внешнего муниципального финансового контроля «Экспертиза проектов муниципальных программ Партизанского муниципального округа» (далее – Стандарт) </w:t>
      </w:r>
      <w:r>
        <w:rPr>
          <w:spacing w:val="-2"/>
          <w:sz w:val="28"/>
          <w:szCs w:val="28"/>
        </w:rPr>
        <w:t xml:space="preserve">разработан в соответствии с Федеральным законом от 07.02.2011 № 6-ФЗ «Об общих принципах организации и деятельности </w:t>
      </w:r>
      <w:bookmarkStart w:id="3" w:name="l1"/>
      <w:bookmarkEnd w:id="3"/>
      <w:r>
        <w:rPr>
          <w:spacing w:val="-2"/>
          <w:sz w:val="28"/>
          <w:szCs w:val="28"/>
        </w:rPr>
        <w:t xml:space="preserve">контрольно-счетных органов субъектов Российской Федерации и муниципальных образований».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Настоящий Стандарт разработан в соответствии с Общими требованиями к стандартам внешнего государственного и муниципального финансового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1.3. Стандарт определяет общие требования, правила и процедуры проведения ревизионной комиссией Партизанского муниципального округа (далее – Ревизионная комиссия) экспертизы проектов муниципальных программ Партизанского муниципального округа (далее – муниципальных программ), а также проектов изменений действующих муниципальных программ  в пределах полномочий Ревизионной комиссии.</w:t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320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 Стандарт является обязательным к применению должностными лицами Ревизионной комиссии и привлеченными экспертами, участвующими в проведении экспертизы проектов муниципальных программ.</w:t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3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Экспертиза проектов муниципальных программ осуществляется Ревизионной комиссией на основании п. 7 ч. 2 ст. 9 Федерального закона от 07.02.2011 </w:t>
      </w:r>
      <w:r>
        <w:rPr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3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 Целью экспертизы является оценка экономической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средств.</w:t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3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Ревизионная комиссия вправе выражать свое мнение по указанным аспектам.</w:t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3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Экспертиза проекта муниципальной программы включает оценку его соответствия Плану социально-экономического развития Партизанского муниципального округа, нормам, установленным законами и иными нормативными правовыми актами Российской Федерации, Приморского края и Партизанского муниципального округа в соответствующей сфере.</w:t>
      </w:r>
    </w:p>
    <w:p>
      <w:pPr>
        <w:pStyle w:val="ListParagraph"/>
        <w:widowControl w:val="false"/>
        <w:tabs>
          <w:tab w:val="clear" w:pos="708"/>
          <w:tab w:val="left" w:pos="1134" w:leader="none"/>
        </w:tabs>
        <w:spacing w:before="0" w:after="0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1.10. Основными задачами экспертизы проекта муниципальной программы является оценка:</w:t>
      </w:r>
    </w:p>
    <w:p>
      <w:pPr>
        <w:pStyle w:val="ListParagraph"/>
        <w:widowControl w:val="false"/>
        <w:spacing w:before="0" w:after="0"/>
        <w:ind w:firstLine="708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положений проекта муниципальной программы нормам законов и иных нормативных правовых актов;</w:t>
      </w:r>
    </w:p>
    <w:p>
      <w:pPr>
        <w:pStyle w:val="ListParagraph"/>
        <w:widowControl w:val="false"/>
        <w:spacing w:before="0" w:after="0"/>
        <w:ind w:firstLine="708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- полноты анализа предметной ситуации и ее факторов;</w:t>
      </w:r>
    </w:p>
    <w:p>
      <w:pPr>
        <w:pStyle w:val="ListParagraph"/>
        <w:widowControl w:val="false"/>
        <w:spacing w:before="0" w:after="0"/>
        <w:ind w:firstLine="708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- корректности определения ожидаемых результатов, целевых показателей (индикаторов) муниципальной программы;</w:t>
      </w:r>
    </w:p>
    <w:p>
      <w:pPr>
        <w:pStyle w:val="ListParagraph"/>
        <w:widowControl w:val="false"/>
        <w:spacing w:before="0" w:after="0"/>
        <w:ind w:firstLine="708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- целостности и связанности задач муниципальной программы и мероприятий по их выполнению;</w:t>
      </w:r>
    </w:p>
    <w:p>
      <w:pPr>
        <w:pStyle w:val="ListParagraph"/>
        <w:widowControl w:val="false"/>
        <w:spacing w:before="0" w:after="0"/>
        <w:ind w:firstLine="708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обоснованности заявленных финансовых потребностей муниципальной программы. 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  Предметом экспертизы являются проекты муниципальных программ или проекты внесения изменений в программы, документы и материалы, предоставляемые одновременно с ними. 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1.12. Повторная экспертиза проводится в случае направления в Ревизионную комиссию проекта муниципальной программы (проекта изменений в муниципальную программу) повторно после устранения замечаний и рассмотрения предложений Ревизионной комиссии.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 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Ревизионную комиссию дополнительной информации и документов вместе с проектом муниципальной программы (проектом изменений в муниципальную программу). </w:t>
      </w:r>
    </w:p>
    <w:p>
      <w:pPr>
        <w:pStyle w:val="ListParagraph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Положительным заключением в целях настоящей статьи считается заключение, в котором по итогам экспертизы замечания и предложения отсутствуют.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Также дополнительная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экспертизы ранее рассмотренного варианта проекта.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1.14. Основные термины и понятия: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целевые (индикативные) показатели, индикаторы – показатели, установленные программой, для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оценки степени достижения поставленных программой целей и задач.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1.15. </w:t>
      </w:r>
      <w:r>
        <w:rPr>
          <w:rFonts w:cs="Times New Roman" w:ascii="Times New Roman" w:hAnsi="Times New Roman"/>
          <w:sz w:val="28"/>
          <w:szCs w:val="28"/>
        </w:rPr>
        <w:t>Заключение Ревизионной комиссии по итогам экспертизы не должно содержать политических оценок проекта муниципальной программы.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before="0" w:after="0"/>
        <w:ind w:firstLine="284" w:left="57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keepNext w:val="false"/>
        <w:widowControl w:val="false"/>
        <w:tabs>
          <w:tab w:val="clear" w:pos="708"/>
          <w:tab w:val="left" w:pos="284" w:leader="none"/>
        </w:tabs>
        <w:spacing w:lineRule="auto" w:line="240"/>
        <w:rPr>
          <w:sz w:val="28"/>
          <w:szCs w:val="28"/>
        </w:rPr>
      </w:pPr>
      <w:bookmarkStart w:id="4" w:name="_Toc324753703"/>
      <w:bookmarkStart w:id="5" w:name="_Toc311946841"/>
      <w:r>
        <w:rPr>
          <w:sz w:val="28"/>
          <w:szCs w:val="28"/>
        </w:rPr>
        <w:t xml:space="preserve">2. Требования и правила проведения экспертизы муниципальной программы </w:t>
      </w:r>
      <w:bookmarkEnd w:id="4"/>
      <w:bookmarkEnd w:id="5"/>
    </w:p>
    <w:p>
      <w:pPr>
        <w:pStyle w:val="Normal"/>
        <w:ind w:firstLine="284" w:lef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Объем экспертизы проекта муниципальной программы определяется должностным лицом Ревизионной комиссии,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При необходимости председателем Ревизионной комиссии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бюджета муниципального округа и его муниципального имущества. 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 xml:space="preserve">2.4. В ходе проведения экспертизы </w:t>
      </w:r>
      <w:r>
        <w:rPr>
          <w:rStyle w:val="FontStyle11"/>
          <w:b w:val="false"/>
          <w:sz w:val="28"/>
          <w:szCs w:val="28"/>
        </w:rPr>
        <w:t xml:space="preserve">проектов муниципальных </w:t>
      </w:r>
      <w:r>
        <w:rPr>
          <w:rStyle w:val="FontStyle11"/>
          <w:b w:val="false"/>
          <w:bCs w:val="false"/>
          <w:sz w:val="28"/>
          <w:szCs w:val="28"/>
        </w:rPr>
        <w:t>программ подлежат рассмотрению следующие вопросы: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 xml:space="preserve">- </w:t>
      </w:r>
      <w:r>
        <w:rPr>
          <w:sz w:val="28"/>
          <w:szCs w:val="28"/>
        </w:rPr>
        <w:t>соответствие</w:t>
      </w:r>
      <w:r>
        <w:rPr>
          <w:rStyle w:val="FontStyle11"/>
          <w:b w:val="false"/>
          <w:bCs w:val="false"/>
          <w:sz w:val="28"/>
          <w:szCs w:val="28"/>
        </w:rPr>
        <w:t xml:space="preserve"> целей программы поставленной проблеме, соответствие планируемых задач целям программы;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 xml:space="preserve">- соответствие целей, задач программы </w:t>
      </w:r>
      <w:r>
        <w:rPr>
          <w:sz w:val="28"/>
          <w:szCs w:val="28"/>
        </w:rPr>
        <w:t>документам стратегического планирования, разработанным на уровне муниципального образования;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FontStyle11"/>
          <w:b w:val="false"/>
          <w:bCs w:val="false"/>
          <w:sz w:val="28"/>
          <w:szCs w:val="28"/>
        </w:rPr>
        <w:t>четкость формулировок целей и задач, их конкретность и реальная достижимость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b w:val="false"/>
          <w:sz w:val="28"/>
          <w:szCs w:val="28"/>
        </w:rPr>
        <w:t>в установленные сроки реализации программы</w:t>
      </w:r>
      <w:r>
        <w:rPr>
          <w:rStyle w:val="FontStyle11"/>
          <w:b w:val="false"/>
          <w:bCs w:val="false"/>
          <w:sz w:val="28"/>
          <w:szCs w:val="28"/>
        </w:rPr>
        <w:t>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наличие и</w:t>
      </w:r>
      <w:r>
        <w:rPr>
          <w:sz w:val="28"/>
          <w:szCs w:val="28"/>
        </w:rPr>
        <w:t>змеряемых (натуральных и стоимостных) показателей, позволяющих оценить</w:t>
      </w:r>
      <w:r>
        <w:rPr>
          <w:rStyle w:val="FontStyle11"/>
          <w:b w:val="false"/>
          <w:bCs w:val="false"/>
          <w:sz w:val="28"/>
          <w:szCs w:val="28"/>
        </w:rPr>
        <w:t xml:space="preserve"> степень достижения целей и выполнения задач;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взаимосвязанность программных мероприятий, в том числе по срокам реализации, отсутствие дублирования мероприятий других действующих (принимаемых) программ;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соответствие программных мероприятий целям и задачам программы;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наличие и обоснованность промежуточных планируемых результатов;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обоснованность объемов финансирования программных мероприятий;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обоснованность объемов и механизма привлечения внебюджетных источников финансирования</w:t>
      </w:r>
      <w:r>
        <w:rPr>
          <w:sz w:val="28"/>
          <w:szCs w:val="28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FontStyle11"/>
          <w:b w:val="false"/>
          <w:bCs w:val="false"/>
          <w:sz w:val="28"/>
          <w:szCs w:val="28"/>
        </w:rPr>
        <w:t>четкая формулировка, простота понимания индикаторов (целевых, индикативных показателей);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наличие достоверного источника информации или методики расчета индикаторов (целевых, индикативных показателей);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наличие взаимосвязи между индикаторами (целевыми, индикативными показателями) и программными мероприятиями;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наличие ответственных лиц (подразделений) за реализацию программы в целом и за исполнение отдельных программных мероприятий;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rStyle w:val="FontStyle11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>- 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2.5.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Партизанского муниципального округа, а также: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корректности предлагаемых изменений (отсутствие изменений программы «задним числом»);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целесообразности предлагаемых изменений (потенциальная эффективность предлагаемых мер);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устранения или сохранения нарушений и недостатков программы, отмеченных Ревизионной комиссией ранее по результатам экспертизы проекта программы.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2.6. Срок проведения экспертизы проекта муниципальной программы составляет не более 5 рабочих дней, исчисляемых со дня, следующего за днем поступления проекта в Ревизионную комиссию. Срок проведения экспертизы проекта об изменении муниципальной программы составляет не более 3 рабочих дня, исчисляемых со дня, следующего за днем поступления проекта в Ревизионную комиссию.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left="34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keepNext w:val="false"/>
        <w:widowControl w:val="false"/>
        <w:shd w:val="clear" w:color="auto" w:fill="FFFFFF"/>
        <w:tabs>
          <w:tab w:val="clear" w:pos="708"/>
          <w:tab w:val="left" w:pos="284" w:leader="none"/>
        </w:tabs>
        <w:spacing w:lineRule="auto" w:line="240"/>
        <w:rPr>
          <w:sz w:val="28"/>
          <w:szCs w:val="28"/>
        </w:rPr>
      </w:pPr>
      <w:bookmarkStart w:id="6" w:name="_Toc324753704"/>
      <w:bookmarkStart w:id="7" w:name="_Toc312083041"/>
      <w:bookmarkStart w:id="8" w:name="l58"/>
      <w:bookmarkStart w:id="9" w:name="l14"/>
      <w:bookmarkStart w:id="10" w:name="l60"/>
      <w:bookmarkStart w:id="11" w:name="l13"/>
      <w:bookmarkStart w:id="12" w:name="l59"/>
      <w:bookmarkEnd w:id="8"/>
      <w:bookmarkEnd w:id="9"/>
      <w:bookmarkEnd w:id="10"/>
      <w:bookmarkEnd w:id="11"/>
      <w:bookmarkEnd w:id="12"/>
      <w:r>
        <w:rPr>
          <w:sz w:val="28"/>
          <w:szCs w:val="28"/>
        </w:rPr>
        <w:t>3. Требования к оформлению результатов экспертизы</w:t>
      </w:r>
      <w:bookmarkEnd w:id="6"/>
      <w:bookmarkEnd w:id="7"/>
    </w:p>
    <w:p>
      <w:pPr>
        <w:pStyle w:val="Normal"/>
        <w:ind w:firstLine="284" w:lef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3.1. По результатам проведения экспертизы проекта муниципальной программы составляется заключение Ревизионной комиссии.</w:t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3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Заключение Ревизионной комиссии по итогам экспертизы не должно содержать политических оценок проекта муниципальной программы.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3.3. Заключение состоит из вводной и содержательной частей.</w:t>
      </w:r>
    </w:p>
    <w:p>
      <w:pPr>
        <w:pStyle w:val="ListParagraph"/>
        <w:widowControl w:val="false"/>
        <w:numPr>
          <w:ilvl w:val="0"/>
          <w:numId w:val="0"/>
        </w:numPr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1276" w:leader="none"/>
        </w:tabs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анализа предметной сферы жизнедеятельности Партизанского муниципального округа;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целей, выбора ожидаемых результатов;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постановки задач, выбора принципиальных подходов решения проблемы (улучшения состояния жизнедеятельности Партизанского муниципального округа); 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целевых, индикативных показателей (индикаторов);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распределения задач и мероприятий между соисполнителями муниципальной программы;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финансовых потребностей муниципальной программы, в том числе с учетом выпадающих доходов бюджета Партизанского муниципального округа при возникновении таковых в связи с принятием/изменением программы.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3.5. При проведении повторной экспертизы, дополнительной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Ревизионной комиссии нарушения и недостатки.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3.6. При обнаружении в ходе проведения экспертизы коррупциогенных факторов в заключении Ревизионной комиссии по итогам экспертизы должна быть отражена соответствующая информация.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3.7.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3.8. В заключении Ревизионной комиссии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 Заключение Ревизионной комиссии по итогам экспертизы проекта муниципальной программы (проекта изменений в муниципальную программу) подписывается председателем ревизионной комиссии или лицом, его замещающим, а также другими участниками экспертизы в порядке, установленном в Ревизионной комиссии. Заключение направляется с сопроводительным письмом субъекту правотворческой инициативы, от которого проект был получен для проведения экспертизы. 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3.10. Информационное письмо со сведениями о результатах проведенной экспертизы может быть направлено главе Партизанского муниципального округа по инициативе председателя ревизионной комиссии или по запросу главы Партизанского муниципального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851" w:gutter="0" w:header="0" w:top="709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29851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ab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193ab8"/>
    <w:pPr>
      <w:keepNext w:val="true"/>
      <w:spacing w:lineRule="auto" w:line="480"/>
      <w:jc w:val="center"/>
      <w:outlineLvl w:val="0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93ab8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93ab8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rsid w:val="00160472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qFormat/>
    <w:rsid w:val="00112bb7"/>
    <w:rPr>
      <w:rFonts w:ascii="Times New Roman" w:hAnsi="Times New Roman" w:cs="Times New Roman"/>
      <w:b/>
      <w:bCs/>
      <w:sz w:val="22"/>
      <w:szCs w:val="22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93ab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93ab8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16047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LibreOffice/24.8.4.2$Linux_X86_64 LibreOffice_project/480$Build-2</Application>
  <AppVersion>15.0000</AppVersion>
  <Pages>8</Pages>
  <Words>1590</Words>
  <Characters>12705</Characters>
  <CharactersWithSpaces>14237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2024-04-03T01:00:00Z</dcterms:created>
  <dc:creator>Черных Елена Петровна</dc:creator>
  <dc:description/>
  <dc:language>ru-RU</dc:language>
  <cp:lastModifiedBy/>
  <cp:lastPrinted>2024-04-03T05:47:00Z</cp:lastPrinted>
  <dcterms:modified xsi:type="dcterms:W3CDTF">2025-05-28T16:20:35Z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