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3" w:rsidRDefault="00334284" w:rsidP="00334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0"/>
        </w:rPr>
        <w:t>Проект</w:t>
      </w: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B56B21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4264B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="00A43C56">
        <w:rPr>
          <w:rFonts w:ascii="Times New Roman" w:hAnsi="Times New Roman"/>
          <w:sz w:val="28"/>
          <w:szCs w:val="28"/>
        </w:rPr>
        <w:lastRenderedPageBreak/>
        <w:t xml:space="preserve">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3255E4">
        <w:fldChar w:fldCharType="begin"/>
      </w:r>
      <w:r w:rsidR="00C76CF1">
        <w:instrText>HYPERLINK "http://www.mo.primorsky.ru/partizansky"</w:instrText>
      </w:r>
      <w:r w:rsidR="003255E4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3255E4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</w:t>
      </w:r>
      <w:proofErr w:type="spellStart"/>
      <w:r w:rsidRPr="00606C3C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8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9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6C56F1" w:rsidRDefault="006C56F1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расположенные на территории Приморского края, информация о которых </w:t>
      </w:r>
      <w:r w:rsidRPr="0010371B">
        <w:rPr>
          <w:rFonts w:ascii="Times New Roman" w:hAnsi="Times New Roman"/>
          <w:sz w:val="28"/>
          <w:szCs w:val="28"/>
        </w:rPr>
        <w:lastRenderedPageBreak/>
        <w:t>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</w:t>
      </w:r>
      <w:proofErr w:type="spellStart"/>
      <w:r w:rsidRPr="0010371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371B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законодательных и иных нормативных правовых актов, </w:t>
      </w:r>
      <w:r w:rsidRPr="0010371B">
        <w:rPr>
          <w:rFonts w:ascii="Times New Roman" w:hAnsi="Times New Roman"/>
          <w:sz w:val="28"/>
          <w:szCs w:val="28"/>
        </w:rPr>
        <w:lastRenderedPageBreak/>
        <w:t>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B56B21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B56B21" w:rsidRDefault="00B56B21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а) выдача заявителю разрешения на ввод объекта в эксплуатацию. 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б) отказ в выдаче заявителю разрешения на ввод объекта в эксплуатацию.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56B21">
        <w:rPr>
          <w:rFonts w:ascii="Times New Roman" w:hAnsi="Times New Roman"/>
          <w:sz w:val="28"/>
          <w:szCs w:val="28"/>
        </w:rPr>
        <w:t xml:space="preserve">. Разрешение на ввод объектов в эксплуатацию изготавливается в двух экземплярах, один из которых выдается заявителю, второй хранится в Администрации.  </w:t>
      </w:r>
    </w:p>
    <w:p w:rsidR="00B56B21" w:rsidRP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6B21">
        <w:rPr>
          <w:rFonts w:ascii="Times New Roman" w:hAnsi="Times New Roman"/>
          <w:sz w:val="28"/>
          <w:szCs w:val="28"/>
        </w:rPr>
        <w:t xml:space="preserve"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 выдается заявителю в форме документа на бумажном носителе; направляется </w:t>
      </w:r>
      <w:r w:rsidRPr="00B56B21">
        <w:rPr>
          <w:rFonts w:ascii="Times New Roman" w:hAnsi="Times New Roman"/>
          <w:sz w:val="28"/>
          <w:szCs w:val="28"/>
        </w:rPr>
        <w:lastRenderedPageBreak/>
        <w:t xml:space="preserve">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B56B21" w:rsidRDefault="00936E43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B56B21" w:rsidRPr="00B56B21">
        <w:rPr>
          <w:rFonts w:ascii="Times New Roman" w:hAnsi="Times New Roman"/>
          <w:spacing w:val="-4"/>
          <w:sz w:val="28"/>
          <w:szCs w:val="28"/>
        </w:rPr>
        <w:t>Муниципальная услуга предоставляется в течение семи рабочих дней со дня регистрации заявления о выдаче разрешения на ввод объекта в эксплуатацию, в течение семи дней для Администраций муниципальных образований, вошедших в границы территории</w:t>
      </w:r>
      <w:r w:rsidR="00B56B21">
        <w:rPr>
          <w:rFonts w:ascii="Times New Roman" w:hAnsi="Times New Roman"/>
          <w:spacing w:val="-4"/>
          <w:sz w:val="28"/>
          <w:szCs w:val="28"/>
        </w:rPr>
        <w:t xml:space="preserve"> Свободного порта Владивосток. </w:t>
      </w:r>
    </w:p>
    <w:p w:rsidR="00936E43" w:rsidRDefault="00B56B21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B56B21">
        <w:rPr>
          <w:rFonts w:ascii="Times New Roman" w:hAnsi="Times New Roman"/>
          <w:spacing w:val="-4"/>
          <w:sz w:val="28"/>
          <w:szCs w:val="28"/>
        </w:rPr>
        <w:t>Администрация в течение семи рабочих дней (в течение семи дней на территории Свободного порта Владивосток) со дня регистрации Администрацией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0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1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</w:t>
      </w:r>
      <w:r w:rsidRPr="00940ED7">
        <w:rPr>
          <w:rFonts w:ascii="Times New Roman" w:hAnsi="Times New Roman"/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B21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B56B2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9.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а) заявление о выдаче разрешения на ввод объекта в эксплуатацию по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 форме согласно приложению № 3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к настоящему Регламенту;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выполненных работ по сохранению объекта культурного наследия, утвержденный соответствующим органом охраны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 </w:t>
      </w:r>
    </w:p>
    <w:p w:rsidR="0056643B" w:rsidRDefault="0056643B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разрешение на строительство;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тации, в том числе требованиям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е) схема, отображающая расположение построенного,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ж)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Федерации.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Документы, указанные в подпунктах а, г, </w:t>
      </w: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, е, ж,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Для получения разрешения на ввод объекта в эксплуатацию запрещается требовать: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7A46DA" w:rsidRP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56643B">
        <w:rPr>
          <w:rFonts w:ascii="Times New Roman" w:hAnsi="Times New Roman"/>
          <w:sz w:val="28"/>
          <w:szCs w:val="28"/>
        </w:rPr>
        <w:t xml:space="preserve">Основаниями для отказа в прием документов являются: 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6035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6643B">
        <w:rPr>
          <w:rFonts w:ascii="Times New Roman" w:hAnsi="Times New Roman"/>
          <w:sz w:val="28"/>
          <w:szCs w:val="28"/>
        </w:rPr>
        <w:t>4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</w:t>
      </w:r>
      <w:r w:rsidR="00936E43" w:rsidRPr="00606C3C"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56643B" w:rsidRDefault="00936E43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</w:t>
      </w:r>
      <w:r w:rsidR="0056643B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56643B" w:rsidRPr="0056643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отсутствие документов, указанных в пункте </w:t>
      </w:r>
      <w:r>
        <w:rPr>
          <w:rFonts w:ascii="Times New Roman" w:hAnsi="Times New Roman"/>
          <w:sz w:val="28"/>
          <w:szCs w:val="28"/>
        </w:rPr>
        <w:t>2.9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строительство; г) несоответствие параметров построенного, реконструированного объекта капитального строительства проектной документации;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spellStart"/>
      <w:r w:rsidRPr="0056643B">
        <w:rPr>
          <w:rFonts w:ascii="Times New Roman" w:hAnsi="Times New Roman"/>
          <w:sz w:val="28"/>
          <w:szCs w:val="28"/>
        </w:rPr>
        <w:t>д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110E86" w:rsidRPr="00110E86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56643B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="00831047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1047">
        <w:rPr>
          <w:rFonts w:ascii="Times New Roman" w:hAnsi="Times New Roman" w:cs="Times New Roman"/>
          <w:sz w:val="28"/>
          <w:szCs w:val="28"/>
        </w:rPr>
        <w:t>18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средств связи,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 Оформление визуальной, текстовой и 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831047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lastRenderedPageBreak/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а) прием и регистрация заявления и прилагаемых к нем</w:t>
      </w:r>
      <w:r w:rsidR="00FB45AA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56643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56643B">
        <w:rPr>
          <w:rFonts w:ascii="Times New Roman" w:hAnsi="Times New Roman"/>
          <w:sz w:val="28"/>
          <w:szCs w:val="28"/>
        </w:rPr>
        <w:t>порядк</w:t>
      </w:r>
      <w:r w:rsidR="00FB45AA">
        <w:rPr>
          <w:rFonts w:ascii="Times New Roman" w:hAnsi="Times New Roman"/>
          <w:sz w:val="28"/>
          <w:szCs w:val="28"/>
        </w:rPr>
        <w:t>Е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б) рассмотрение заявления и прилагаемых к нему документов в Администрации;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межведомственное взаимодействие для сбора документов, необходимых для предоставления муниципальной услуги; 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643B">
        <w:rPr>
          <w:rFonts w:ascii="Times New Roman" w:hAnsi="Times New Roman"/>
          <w:sz w:val="28"/>
          <w:szCs w:val="28"/>
        </w:rPr>
        <w:t xml:space="preserve">) проверка представленных документов на соответствие установленным требованиям;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) подготовка и выдача документа, являющегося результатом предоставления муниципальной услуги; </w:t>
      </w:r>
    </w:p>
    <w:p w:rsidR="0056643B" w:rsidRP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6643B">
        <w:rPr>
          <w:rFonts w:ascii="Times New Roman" w:hAnsi="Times New Roman"/>
          <w:sz w:val="28"/>
          <w:szCs w:val="28"/>
        </w:rPr>
        <w:t xml:space="preserve">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>страция заявления о выдаче ГПЗУ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lastRenderedPageBreak/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</w:t>
      </w:r>
      <w:r>
        <w:rPr>
          <w:rFonts w:ascii="Times New Roman" w:hAnsi="Times New Roman"/>
          <w:bCs/>
          <w:iCs/>
          <w:sz w:val="28"/>
          <w:szCs w:val="28"/>
        </w:rPr>
        <w:t xml:space="preserve">ствии с настоящим Регламентом.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</w:t>
      </w:r>
      <w:r w:rsidR="00FB45AA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6643B">
        <w:rPr>
          <w:rFonts w:ascii="Times New Roman" w:hAnsi="Times New Roman"/>
          <w:bCs/>
          <w:iCs/>
          <w:sz w:val="28"/>
          <w:szCs w:val="28"/>
        </w:rPr>
        <w:t>о порядк</w:t>
      </w:r>
      <w:r w:rsidR="00FB45AA">
        <w:rPr>
          <w:rFonts w:ascii="Times New Roman" w:hAnsi="Times New Roman"/>
          <w:bCs/>
          <w:iCs/>
          <w:sz w:val="28"/>
          <w:szCs w:val="28"/>
        </w:rPr>
        <w:t>е</w:t>
      </w:r>
      <w:r w:rsidRPr="0056643B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срок не более одного рабочего дня, следующего за днём регистрации заявления и прилагаемых к нему документов должностное лицо,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 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 </w:t>
      </w:r>
    </w:p>
    <w:p w:rsidR="00FD1D3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 </w:t>
      </w:r>
    </w:p>
    <w:p w:rsidR="00285D0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Pr="000562CF">
        <w:rPr>
          <w:rFonts w:ascii="Times New Roman" w:hAnsi="Times New Roman"/>
          <w:b/>
          <w:bCs/>
          <w:iCs/>
          <w:sz w:val="28"/>
          <w:szCs w:val="28"/>
        </w:rPr>
        <w:t>Проверка представленных документов на соответствие установленным требованиям.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 Должностное лицо, ответственное за рассмотрение заявления осуществляет: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а) проверку наличия и правильности оформления документов, указанных в подпунктах 9.2 и 9.3 настоящего Регламента;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осмотр объекта капитального строительства.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проверка: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соответствия такого объекта  разрешенному использованию земельного участка;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в) соответствия ограничениям, установленным в соответствии с земельным и иным законодательством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 г) соответствия требованиям проектной документации, в том числе требованиям энергетической эффективности и требованиям оснащенности </w:t>
      </w: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объекта капитального строительства приборами учета используемых энергетических ресурсов.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 </w:t>
      </w:r>
    </w:p>
    <w:p w:rsidR="000562CF" w:rsidRPr="00285D0C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 xml:space="preserve">Подготовка, регистрация и выдача </w:t>
      </w:r>
      <w:r w:rsidR="000562CF" w:rsidRPr="000562CF">
        <w:rPr>
          <w:rFonts w:ascii="Times New Roman" w:hAnsi="Times New Roman"/>
          <w:b/>
          <w:bCs/>
          <w:iCs/>
          <w:sz w:val="28"/>
          <w:szCs w:val="28"/>
        </w:rPr>
        <w:t>разрешения на ввод объекта в эксплуатацию либо отказа в выдаче такого разрешения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 </w:t>
      </w: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 или по </w:t>
      </w:r>
      <w:r w:rsidRPr="000562CF">
        <w:rPr>
          <w:rFonts w:ascii="Times New Roman" w:hAnsi="Times New Roman"/>
          <w:sz w:val="28"/>
          <w:szCs w:val="28"/>
        </w:rPr>
        <w:lastRenderedPageBreak/>
        <w:t xml:space="preserve">телефону)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либо письма об отказе в выдаче такого разрешения в день его регистрации выдается: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Факт получения разрешения на ввод объекта в эксплуатацию фиксируется в документе учета выданных разрешений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 </w:t>
      </w:r>
    </w:p>
    <w:p w:rsidR="00B516B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lastRenderedPageBreak/>
        <w:t>3.7.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принятое решение о выдаче заявителю разрешения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Должностное лицо Администрации: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</w:t>
      </w:r>
      <w:r>
        <w:rPr>
          <w:rFonts w:ascii="Times New Roman" w:hAnsi="Times New Roman"/>
          <w:sz w:val="28"/>
          <w:szCs w:val="28"/>
        </w:rPr>
        <w:t>емых к ней региональных систем м</w:t>
      </w:r>
      <w:r w:rsidRPr="000562CF">
        <w:rPr>
          <w:rFonts w:ascii="Times New Roman" w:hAnsi="Times New Roman"/>
          <w:sz w:val="28"/>
          <w:szCs w:val="28"/>
        </w:rPr>
        <w:t xml:space="preserve">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пунктом 9 части 7 статьи 51 Градостроительного кодекса Российской Федерации;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 </w:t>
      </w: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9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10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11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0562C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="00B516BF"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lastRenderedPageBreak/>
        <w:t>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0562CF">
        <w:rPr>
          <w:rFonts w:ascii="Times New Roman" w:hAnsi="Times New Roman"/>
          <w:bCs/>
          <w:sz w:val="28"/>
          <w:szCs w:val="28"/>
        </w:rPr>
        <w:t>3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0562CF">
        <w:rPr>
          <w:rFonts w:ascii="Times New Roman" w:hAnsi="Times New Roman"/>
          <w:bCs/>
          <w:sz w:val="28"/>
          <w:szCs w:val="28"/>
        </w:rPr>
        <w:t>4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562CF">
        <w:rPr>
          <w:rFonts w:ascii="Times New Roman" w:hAnsi="Times New Roman"/>
          <w:sz w:val="28"/>
          <w:szCs w:val="28"/>
        </w:rPr>
        <w:t>5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0562CF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- 3.</w:t>
      </w:r>
      <w:r w:rsidR="000562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0562CF">
        <w:rPr>
          <w:rFonts w:ascii="Times New Roman" w:hAnsi="Times New Roman"/>
          <w:sz w:val="28"/>
          <w:szCs w:val="28"/>
        </w:rPr>
        <w:t>6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 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831047">
        <w:rPr>
          <w:rFonts w:ascii="Times New Roman" w:hAnsi="Times New Roman"/>
          <w:sz w:val="28"/>
          <w:szCs w:val="28"/>
        </w:rPr>
        <w:t>2.9</w:t>
      </w:r>
      <w:r w:rsidR="005551E2"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5551E2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5551E2">
        <w:rPr>
          <w:rFonts w:ascii="Times New Roman" w:hAnsi="Times New Roman"/>
          <w:sz w:val="28"/>
          <w:szCs w:val="28"/>
        </w:rPr>
        <w:t>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lastRenderedPageBreak/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>.</w:t>
      </w:r>
      <w:r w:rsidR="00641095">
        <w:rPr>
          <w:rFonts w:ascii="Times New Roman" w:hAnsi="Times New Roman"/>
          <w:sz w:val="28"/>
          <w:szCs w:val="28"/>
        </w:rPr>
        <w:t xml:space="preserve"> 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963368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5DE"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="00EE55DE"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вопросов, предполагающим правовую экспертизу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виде в Администрацию по защищенным каналам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Контроль за рассмотрением письменных запросов заявителей осуществляется в целях обеспечения своевременного и качественного </w:t>
      </w:r>
      <w:r w:rsidRPr="00175CAC">
        <w:rPr>
          <w:rFonts w:ascii="Times New Roman" w:hAnsi="Times New Roman" w:cs="Times New Roman"/>
          <w:sz w:val="28"/>
          <w:szCs w:val="28"/>
        </w:rPr>
        <w:lastRenderedPageBreak/>
        <w:t>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2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3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63368" w:rsidRPr="00B56B21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с.Владимиро-Александровское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63368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 xml:space="preserve">Выдача </w:t>
      </w:r>
      <w:r w:rsidR="00963368">
        <w:rPr>
          <w:rFonts w:ascii="Times New Roman" w:hAnsi="Times New Roman"/>
          <w:b/>
          <w:caps/>
          <w:sz w:val="28"/>
          <w:szCs w:val="28"/>
        </w:rPr>
        <w:t>РАЗРЕШЕНИЯ НА ВВОД ОБЪЕКТА В ЭКСПЛУАТАЦИЮ</w:t>
      </w:r>
      <w:r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6336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63368">
        <w:tc>
          <w:tcPr>
            <w:tcW w:w="9570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3255E4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55E4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63368">
        <w:tc>
          <w:tcPr>
            <w:tcW w:w="9570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3255E4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3255E4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963368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368">
              <w:rPr>
                <w:rFonts w:ascii="Times New Roman" w:hAnsi="Times New Roman"/>
                <w:sz w:val="26"/>
                <w:szCs w:val="26"/>
              </w:rPr>
              <w:t xml:space="preserve">Проверка представленных документов на соответствие установленным требованиям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963368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3255E4" w:rsidP="003755E8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63368">
        <w:rPr>
          <w:rFonts w:ascii="Times New Roman" w:hAnsi="Times New Roman"/>
          <w:b/>
          <w:bCs/>
          <w:sz w:val="24"/>
          <w:szCs w:val="28"/>
        </w:rPr>
        <w:t>о выдаче разрешения на ввод объекта в эксплуатацию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Прошу выдать разрешение на ввод объекта в эксплуатацию _____________________________________________________________________________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963368">
        <w:rPr>
          <w:rFonts w:ascii="Times New Roman" w:hAnsi="Times New Roman"/>
          <w:bCs/>
          <w:sz w:val="24"/>
          <w:szCs w:val="28"/>
        </w:rPr>
        <w:t>(наименование объекта)</w:t>
      </w: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земельном участке  с кадастровым номером:_____________________________________ по адресу: 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  <w:r w:rsidRPr="00963368">
        <w:rPr>
          <w:rFonts w:ascii="Times New Roman" w:hAnsi="Times New Roman"/>
          <w:bCs/>
          <w:sz w:val="24"/>
          <w:szCs w:val="28"/>
        </w:rPr>
        <w:t xml:space="preserve">              (субъект Российской Федерации, город, район, улица, номер участка) </w:t>
      </w:r>
    </w:p>
    <w:p w:rsidR="00C43031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__________________________________________                                               (наименование документа)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______________________________ от "_____" __________________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__________ Строительство (реконструкция) осуществлялись на основании _____________________________________________________________________________                    (наименование документа,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, дата выдачи)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Дополнительно информируем: 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1. Работы производились подрядным (хозяйственным) способом в соответствии с договором от "____" 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___________________________________ _____________________________________________________________________________                      (наименование организации, ИНН, юридический и почтовый адреса, _____________________________________________________________________________ Ф.И.О. руководителя, номер телефона) </w:t>
      </w:r>
      <w:r w:rsidRPr="00963368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2. Право выполнения строительно-монтажных работ закреплено ______________________ _____________________________________________________________________________ </w:t>
      </w:r>
      <w:r w:rsidRPr="00C43031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от "_____" 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 </w:t>
      </w: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 </w:t>
      </w:r>
    </w:p>
    <w:p w:rsidR="009255E4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земельный участок с кадастровым номером _____________________________________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876AF2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21" w:rsidRDefault="00B56B21" w:rsidP="007035F6">
      <w:pPr>
        <w:spacing w:line="240" w:lineRule="auto"/>
      </w:pPr>
      <w:r>
        <w:separator/>
      </w:r>
    </w:p>
  </w:endnote>
  <w:endnote w:type="continuationSeparator" w:id="0">
    <w:p w:rsidR="00B56B21" w:rsidRDefault="00B56B21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21" w:rsidRDefault="00B56B21" w:rsidP="007035F6">
      <w:pPr>
        <w:spacing w:line="240" w:lineRule="auto"/>
      </w:pPr>
      <w:r>
        <w:separator/>
      </w:r>
    </w:p>
  </w:footnote>
  <w:footnote w:type="continuationSeparator" w:id="0">
    <w:p w:rsidR="00B56B21" w:rsidRDefault="00B56B21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B56B21" w:rsidRDefault="003255E4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B56B21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334284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B56B21" w:rsidRDefault="00B56B2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5E4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284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021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5AA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_pmr@mail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0D61-D247-4DD1-86E0-CB82311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13081</Words>
  <Characters>74566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2</cp:revision>
  <cp:lastPrinted>2020-01-13T05:07:00Z</cp:lastPrinted>
  <dcterms:created xsi:type="dcterms:W3CDTF">2020-01-13T05:11:00Z</dcterms:created>
  <dcterms:modified xsi:type="dcterms:W3CDTF">2020-01-13T05:11:00Z</dcterms:modified>
</cp:coreProperties>
</file>