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6C" w:rsidRPr="0097796C" w:rsidRDefault="0097796C" w:rsidP="0097796C">
      <w:pPr>
        <w:spacing w:after="100" w:afterAutospacing="1" w:line="240" w:lineRule="auto"/>
        <w:outlineLvl w:val="0"/>
        <w:rPr>
          <w:rFonts w:eastAsia="Times New Roman"/>
          <w:vanish/>
          <w:color w:val="212529"/>
          <w:lang w:eastAsia="ru-RU"/>
        </w:rPr>
      </w:pPr>
      <w:r w:rsidRPr="0097796C">
        <w:rPr>
          <w:rFonts w:eastAsia="Times New Roman"/>
          <w:b/>
          <w:bCs/>
          <w:color w:val="212529"/>
          <w:kern w:val="36"/>
          <w:lang w:eastAsia="ru-RU"/>
        </w:rPr>
        <w:t xml:space="preserve">Предприниматели смогут обжаловать решение органов контроля </w:t>
      </w:r>
    </w:p>
    <w:p w:rsidR="0097796C" w:rsidRPr="0097796C" w:rsidRDefault="0097796C" w:rsidP="0097796C">
      <w:pPr>
        <w:spacing w:after="100" w:afterAutospacing="1" w:line="240" w:lineRule="auto"/>
        <w:jc w:val="center"/>
        <w:outlineLvl w:val="0"/>
        <w:rPr>
          <w:rFonts w:eastAsia="Times New Roman"/>
          <w:color w:val="212529"/>
          <w:lang w:eastAsia="ru-RU"/>
        </w:rPr>
      </w:pPr>
      <w:r w:rsidRPr="0097796C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3810" cy="2133600"/>
            <wp:effectExtent l="19050" t="0" r="0" b="0"/>
            <wp:docPr id="1" name="Рисунок 1" descr="Предприниматели смогут обжаловать решение органов контроля досудеб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и смогут обжаловать решение органов контроля досудеб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96C" w:rsidRPr="0097796C" w:rsidRDefault="0097796C" w:rsidP="0097796C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97796C">
        <w:rPr>
          <w:rFonts w:eastAsia="Times New Roman"/>
          <w:b/>
          <w:bCs/>
          <w:color w:val="212529"/>
          <w:lang w:eastAsia="ru-RU"/>
        </w:rPr>
        <w:t xml:space="preserve">С 1 июля приморским предпринимателям станет доступно досудебное обжалование решений федеральных органов госконтроля (например, МЧС России, </w:t>
      </w:r>
      <w:proofErr w:type="spellStart"/>
      <w:r w:rsidRPr="0097796C">
        <w:rPr>
          <w:rFonts w:eastAsia="Times New Roman"/>
          <w:b/>
          <w:bCs/>
          <w:color w:val="212529"/>
          <w:lang w:eastAsia="ru-RU"/>
        </w:rPr>
        <w:t>Роспотребнадзор</w:t>
      </w:r>
      <w:proofErr w:type="spellEnd"/>
      <w:r w:rsidRPr="0097796C">
        <w:rPr>
          <w:rFonts w:eastAsia="Times New Roman"/>
          <w:b/>
          <w:bCs/>
          <w:color w:val="212529"/>
          <w:lang w:eastAsia="ru-RU"/>
        </w:rPr>
        <w:t xml:space="preserve">). Сделать это можно будет через сервис «Жалоба на решение контрольных органов», который можно найти на портале </w:t>
      </w:r>
      <w:proofErr w:type="spellStart"/>
      <w:r w:rsidRPr="0097796C">
        <w:rPr>
          <w:rFonts w:eastAsia="Times New Roman"/>
          <w:b/>
          <w:bCs/>
          <w:color w:val="212529"/>
          <w:lang w:eastAsia="ru-RU"/>
        </w:rPr>
        <w:t>госуслуг</w:t>
      </w:r>
      <w:proofErr w:type="spellEnd"/>
      <w:r w:rsidRPr="0097796C">
        <w:rPr>
          <w:rFonts w:eastAsia="Times New Roman"/>
          <w:b/>
          <w:bCs/>
          <w:color w:val="212529"/>
          <w:lang w:eastAsia="ru-RU"/>
        </w:rPr>
        <w:t>.</w:t>
      </w:r>
    </w:p>
    <w:p w:rsidR="0097796C" w:rsidRPr="0097796C" w:rsidRDefault="0097796C" w:rsidP="0097796C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97796C">
        <w:rPr>
          <w:rFonts w:eastAsia="Times New Roman"/>
          <w:color w:val="212529"/>
          <w:lang w:eastAsia="ru-RU"/>
        </w:rPr>
        <w:t>Сервис позволяет урегулировать спор в досудебном порядке, если при осуществлении государственного контроля (надзора) были нарушены права или законные интересы бизнеса. Его запуск связан со вступлением с 1 мюля в силу закона о государственном контроле.</w:t>
      </w:r>
    </w:p>
    <w:p w:rsidR="0097796C" w:rsidRPr="0097796C" w:rsidRDefault="0097796C" w:rsidP="0097796C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97796C">
        <w:rPr>
          <w:rFonts w:eastAsia="Times New Roman"/>
          <w:color w:val="212529"/>
          <w:lang w:eastAsia="ru-RU"/>
        </w:rPr>
        <w:t>Новый сервис предназначен для юридических лиц, индивидуальных предпринимателей и граждан, не осуществляющих предпринимательскую деятельность.</w:t>
      </w:r>
    </w:p>
    <w:p w:rsidR="0097796C" w:rsidRPr="0097796C" w:rsidRDefault="0097796C" w:rsidP="0097796C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97796C">
        <w:rPr>
          <w:rFonts w:eastAsia="Times New Roman"/>
          <w:color w:val="212529"/>
          <w:lang w:eastAsia="ru-RU"/>
        </w:rPr>
        <w:t xml:space="preserve">По сравнению с традиционным обращением в суд, предприниматель, подавший заявку посредством сервиса, может рассчитывать на короткий срок рассмотрения жалобы, рассмотрение жалобы вышестоящим органом, взаимодействие по жалобе и получение информации о ходе рассмотрения в режиме </w:t>
      </w:r>
      <w:proofErr w:type="spellStart"/>
      <w:r w:rsidRPr="0097796C">
        <w:rPr>
          <w:rFonts w:eastAsia="Times New Roman"/>
          <w:color w:val="212529"/>
          <w:lang w:eastAsia="ru-RU"/>
        </w:rPr>
        <w:t>онлайн</w:t>
      </w:r>
      <w:proofErr w:type="spellEnd"/>
      <w:r w:rsidRPr="0097796C">
        <w:rPr>
          <w:rFonts w:eastAsia="Times New Roman"/>
          <w:color w:val="212529"/>
          <w:lang w:eastAsia="ru-RU"/>
        </w:rPr>
        <w:t>, а также на получение итогового результата на электронную почту.</w:t>
      </w:r>
    </w:p>
    <w:p w:rsidR="0097796C" w:rsidRPr="0097796C" w:rsidRDefault="0097796C" w:rsidP="0097796C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97796C">
        <w:rPr>
          <w:rFonts w:eastAsia="Times New Roman"/>
          <w:color w:val="212529"/>
          <w:lang w:eastAsia="ru-RU"/>
        </w:rPr>
        <w:t>Подать жалобу можно в три шага. Авторизоваться на портале можно, зайдя на портал с использованием подтвержденной учетной записи ЕСИА контролируемого лица. Подача жалобы юридическим лицом осуществляется его руководителем, который может делегировать это право сотруднику своей организации в личном кабинете ЕСИА.</w:t>
      </w:r>
    </w:p>
    <w:p w:rsidR="0097796C" w:rsidRPr="0097796C" w:rsidRDefault="0097796C" w:rsidP="0097796C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97796C">
        <w:rPr>
          <w:rFonts w:eastAsia="Times New Roman"/>
          <w:color w:val="212529"/>
          <w:lang w:eastAsia="ru-RU"/>
        </w:rPr>
        <w:t>Чтобы заполнить форму, нужно выбрать номер обжалуемой проверки, описать суть жалобы и приложить необходимые материалы. Номер проверки для обжалования можно найти в «Едином реестре проверок» или в личном кабинете портала в разделе «Контроль и надзор».</w:t>
      </w:r>
    </w:p>
    <w:p w:rsidR="0097796C" w:rsidRPr="0097796C" w:rsidRDefault="0097796C" w:rsidP="0097796C">
      <w:pPr>
        <w:spacing w:after="100" w:afterAutospacing="1" w:line="240" w:lineRule="auto"/>
        <w:ind w:left="-993" w:firstLine="851"/>
        <w:jc w:val="both"/>
        <w:rPr>
          <w:rFonts w:eastAsia="Times New Roman"/>
          <w:color w:val="212529"/>
          <w:lang w:eastAsia="ru-RU"/>
        </w:rPr>
      </w:pPr>
      <w:r w:rsidRPr="0097796C">
        <w:rPr>
          <w:rFonts w:eastAsia="Times New Roman"/>
          <w:color w:val="212529"/>
          <w:lang w:eastAsia="ru-RU"/>
        </w:rPr>
        <w:t xml:space="preserve">Затем необходимо </w:t>
      </w:r>
      <w:proofErr w:type="gramStart"/>
      <w:r w:rsidRPr="0097796C">
        <w:rPr>
          <w:rFonts w:eastAsia="Times New Roman"/>
          <w:color w:val="212529"/>
          <w:lang w:eastAsia="ru-RU"/>
        </w:rPr>
        <w:t>подписать и отправить</w:t>
      </w:r>
      <w:proofErr w:type="gramEnd"/>
      <w:r w:rsidRPr="0097796C">
        <w:rPr>
          <w:rFonts w:eastAsia="Times New Roman"/>
          <w:color w:val="212529"/>
          <w:lang w:eastAsia="ru-RU"/>
        </w:rPr>
        <w:t xml:space="preserve"> жалобу. Юридическому лицу для подачи жалобы потребуется подписать ее усиленной квалифицированной электронной подписью. Оповещение о результате рассмотрения жалобы и соответствующее решение предприниматель получит автоматически в личном кабинете ЕПГУ и на электронную почту.</w:t>
      </w:r>
    </w:p>
    <w:p w:rsidR="008C16BE" w:rsidRDefault="008C16BE"/>
    <w:sectPr w:rsidR="008C16BE" w:rsidSect="0097796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790E"/>
    <w:multiLevelType w:val="multilevel"/>
    <w:tmpl w:val="B946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796C"/>
    <w:rsid w:val="00291E46"/>
    <w:rsid w:val="008C16BE"/>
    <w:rsid w:val="0097796C"/>
    <w:rsid w:val="00AA6659"/>
    <w:rsid w:val="00F9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97796C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96C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796C"/>
    <w:rPr>
      <w:b/>
      <w:bCs/>
    </w:rPr>
  </w:style>
  <w:style w:type="paragraph" w:styleId="a4">
    <w:name w:val="Normal (Web)"/>
    <w:basedOn w:val="a"/>
    <w:uiPriority w:val="99"/>
    <w:semiHidden/>
    <w:unhideWhenUsed/>
    <w:rsid w:val="0097796C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97796C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534">
                  <w:marLeft w:val="-288"/>
                  <w:marRight w:val="-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3538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9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2021-06-21T00:03:00Z</dcterms:created>
  <dcterms:modified xsi:type="dcterms:W3CDTF">2021-06-21T00:04:00Z</dcterms:modified>
</cp:coreProperties>
</file>