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7C7" w:rsidRDefault="00F04A13">
      <w:pPr>
        <w:shd w:val="clear" w:color="auto" w:fill="FFFFFF"/>
        <w:spacing w:beforeAutospacing="1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Результат опроса общественного мнения по бюджетной тематике</w:t>
      </w:r>
    </w:p>
    <w:bookmarkEnd w:id="0"/>
    <w:p w:rsidR="009B07C7" w:rsidRDefault="00F04A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4864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86400" cy="45339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6097905" cy="3616325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B07C7" w:rsidRDefault="00F04A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86400" cy="401574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486400" cy="432816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86400" cy="403098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53075" cy="4276725"/>
            <wp:effectExtent l="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86400" cy="4732020"/>
            <wp:effectExtent l="0" t="0" r="0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486400" cy="3657600"/>
            <wp:effectExtent l="0" t="0" r="0" b="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86400" cy="3695700"/>
            <wp:effectExtent l="0" t="0" r="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9B07C7" w:rsidRDefault="009B07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B07C7" w:rsidRDefault="00F04A13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486400" cy="3413760"/>
            <wp:effectExtent l="0" t="0" r="0" b="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9B07C7" w:rsidRDefault="009B07C7">
      <w:pP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B07C7" w:rsidRDefault="00F04A13">
      <w:pPr>
        <w:spacing w:before="240" w:after="240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86400" cy="3566160"/>
            <wp:effectExtent l="0" t="0" r="0" b="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9B07C7" w:rsidRDefault="009B07C7">
      <w:pPr>
        <w:rPr>
          <w:rFonts w:ascii="Times New Roman" w:hAnsi="Times New Roman" w:cs="Times New Roman"/>
          <w:sz w:val="24"/>
          <w:szCs w:val="24"/>
        </w:rPr>
      </w:pPr>
    </w:p>
    <w:sectPr w:rsidR="009B07C7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7C7"/>
    <w:rsid w:val="009B07C7"/>
    <w:rsid w:val="00F0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ascii="PT Astra Serif" w:hAnsi="PT Astra Serif" w:cs="Noto Sans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8">
    <w:name w:val="Balloon Text"/>
    <w:basedOn w:val="a"/>
    <w:link w:val="a9"/>
    <w:uiPriority w:val="99"/>
    <w:semiHidden/>
    <w:unhideWhenUsed/>
    <w:rsid w:val="00F04A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04A1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8.xml"/><Relationship Id="rId18" Type="http://schemas.openxmlformats.org/officeDocument/2006/relationships/chart" Target="charts/chart1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chart" Target="charts/chart7.xml"/><Relationship Id="rId17" Type="http://schemas.openxmlformats.org/officeDocument/2006/relationships/chart" Target="charts/chart12.xml"/><Relationship Id="rId2" Type="http://schemas.openxmlformats.org/officeDocument/2006/relationships/styles" Target="styles.xml"/><Relationship Id="rId16" Type="http://schemas.openxmlformats.org/officeDocument/2006/relationships/chart" Target="charts/chart1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6.xml"/><Relationship Id="rId5" Type="http://schemas.openxmlformats.org/officeDocument/2006/relationships/webSettings" Target="webSettings.xml"/><Relationship Id="rId15" Type="http://schemas.openxmlformats.org/officeDocument/2006/relationships/chart" Target="charts/chart10.xml"/><Relationship Id="rId10" Type="http://schemas.openxmlformats.org/officeDocument/2006/relationships/chart" Target="charts/chart5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chart" Target="charts/chart9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2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lang="ru-RU"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Возраст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Ваш возраст</c:v>
                </c:pt>
              </c:strCache>
            </c:strRef>
          </c:tx>
          <c:spPr>
            <a:solidFill>
              <a:srgbClr val="4472C4"/>
            </a:solidFill>
            <a:ln w="19080">
              <a:solidFill>
                <a:srgbClr val="FFFFFF"/>
              </a:solidFill>
              <a:round/>
            </a:ln>
          </c:spPr>
          <c:invertIfNegative val="0"/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4"/>
                <c:pt idx="0">
                  <c:v>от 41 до 60</c:v>
                </c:pt>
                <c:pt idx="1">
                  <c:v>от 21 до 40</c:v>
                </c:pt>
                <c:pt idx="2">
                  <c:v>от 61 и старше</c:v>
                </c:pt>
                <c:pt idx="3">
                  <c:v>до 20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72</c:v>
                </c:pt>
                <c:pt idx="1">
                  <c:v>20</c:v>
                </c:pt>
                <c:pt idx="2">
                  <c:v>8</c:v>
                </c:pt>
                <c:pt idx="3">
                  <c:v>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11229184"/>
        <c:axId val="111255552"/>
      </c:barChart>
      <c:catAx>
        <c:axId val="11122918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255552"/>
        <c:crosses val="autoZero"/>
        <c:auto val="1"/>
        <c:lblAlgn val="ctr"/>
        <c:lblOffset val="100"/>
        <c:noMultiLvlLbl val="0"/>
      </c:catAx>
      <c:valAx>
        <c:axId val="111255552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none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229184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Образование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Образование</c:v>
                </c:pt>
              </c:strCache>
            </c:strRef>
          </c:tx>
          <c:spPr>
            <a:solidFill>
              <a:srgbClr val="70AD47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4"/>
                <c:pt idx="0">
                  <c:v>Высшее</c:v>
                </c:pt>
                <c:pt idx="1">
                  <c:v>Среднее специальное</c:v>
                </c:pt>
                <c:pt idx="2">
                  <c:v>Среднее</c:v>
                </c:pt>
                <c:pt idx="3">
                  <c:v>Без образования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84</c:v>
                </c:pt>
                <c:pt idx="1">
                  <c:v>12</c:v>
                </c:pt>
                <c:pt idx="2">
                  <c:v>4</c:v>
                </c:pt>
                <c:pt idx="3">
                  <c:v>1.2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65982464"/>
        <c:axId val="65984000"/>
      </c:barChart>
      <c:catAx>
        <c:axId val="6598246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65984000"/>
        <c:crosses val="autoZero"/>
        <c:auto val="1"/>
        <c:lblAlgn val="ctr"/>
        <c:lblOffset val="100"/>
        <c:noMultiLvlLbl val="0"/>
      </c:catAx>
      <c:valAx>
        <c:axId val="65984000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65982464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lang="ru-RU"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Сфера деятельности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Сфера Вашей деятельности</c:v>
                </c:pt>
              </c:strCache>
            </c:strRef>
          </c:tx>
          <c:spPr>
            <a:solidFill>
              <a:srgbClr val="ED7D31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Pt>
            <c:idx val="4"/>
            <c:invertIfNegative val="0"/>
            <c:bubble3D val="0"/>
          </c:dPt>
          <c:dPt>
            <c:idx val="5"/>
            <c:invertIfNegative val="0"/>
            <c:bubble3D val="0"/>
          </c:dPt>
          <c:dPt>
            <c:idx val="6"/>
            <c:invertIfNegative val="0"/>
            <c:bubble3D val="0"/>
          </c:dPt>
          <c:dPt>
            <c:idx val="7"/>
            <c:invertIfNegative val="0"/>
            <c:bubble3D val="0"/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8"/>
                <c:pt idx="0">
                  <c:v>Госслужба</c:v>
                </c:pt>
                <c:pt idx="1">
                  <c:v>Прочее</c:v>
                </c:pt>
                <c:pt idx="2">
                  <c:v>Образование</c:v>
                </c:pt>
                <c:pt idx="3">
                  <c:v>Культура</c:v>
                </c:pt>
                <c:pt idx="4">
                  <c:v>Промышленность</c:v>
                </c:pt>
                <c:pt idx="5">
                  <c:v>Здравоохранение</c:v>
                </c:pt>
                <c:pt idx="6">
                  <c:v>Торговля</c:v>
                </c:pt>
                <c:pt idx="7">
                  <c:v>Сельское хозяйство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8"/>
                <c:pt idx="0">
                  <c:v>44</c:v>
                </c:pt>
                <c:pt idx="1">
                  <c:v>36</c:v>
                </c:pt>
                <c:pt idx="2">
                  <c:v>12</c:v>
                </c:pt>
                <c:pt idx="3">
                  <c:v>4</c:v>
                </c:pt>
                <c:pt idx="4">
                  <c:v>4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1528576"/>
        <c:axId val="111542656"/>
      </c:barChart>
      <c:catAx>
        <c:axId val="1115285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542656"/>
        <c:crosses val="autoZero"/>
        <c:auto val="1"/>
        <c:lblAlgn val="ctr"/>
        <c:lblOffset val="100"/>
        <c:noMultiLvlLbl val="0"/>
      </c:catAx>
      <c:valAx>
        <c:axId val="111542656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528576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lang="ru-RU"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Информированность о бюджете Партизанского муниципального округа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Насколько Вы информированы о бюджете Партизанского муниципального округа?</c:v>
                </c:pt>
              </c:strCache>
            </c:strRef>
          </c:tx>
          <c:spPr>
            <a:solidFill>
              <a:srgbClr val="70AD47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  <c:spPr>
              <a:solidFill>
                <a:srgbClr val="70AD47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1"/>
            <c:invertIfNegative val="0"/>
            <c:bubble3D val="0"/>
            <c:spPr>
              <a:solidFill>
                <a:srgbClr val="70AD47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2"/>
            <c:invertIfNegative val="0"/>
            <c:bubble3D val="0"/>
            <c:spPr>
              <a:solidFill>
                <a:srgbClr val="70AD47"/>
              </a:solidFill>
              <a:ln w="19080">
                <a:solidFill>
                  <a:srgbClr val="FFFFFF"/>
                </a:solidFill>
                <a:round/>
              </a:ln>
            </c:spPr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3"/>
                <c:pt idx="0">
                  <c:v>Хорошо информирован</c:v>
                </c:pt>
                <c:pt idx="1">
                  <c:v>Совершенно не информирован</c:v>
                </c:pt>
                <c:pt idx="2">
                  <c:v>В некоторой степени информирован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3"/>
                <c:pt idx="0">
                  <c:v>40</c:v>
                </c:pt>
                <c:pt idx="1">
                  <c:v>32</c:v>
                </c:pt>
                <c:pt idx="2">
                  <c:v>28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1881216"/>
        <c:axId val="111883008"/>
      </c:barChart>
      <c:catAx>
        <c:axId val="1118812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883008"/>
        <c:crosses val="autoZero"/>
        <c:auto val="1"/>
        <c:lblAlgn val="ctr"/>
        <c:lblOffset val="100"/>
        <c:noMultiLvlLbl val="0"/>
      </c:catAx>
      <c:valAx>
        <c:axId val="111883008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881216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lang="ru-RU"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Предпочтение в ознакомлении с информацией о бюджете Партизанского муниципального округа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Какой способ ознакомления с информацией о бюджете Партизанского муниципального округа для Вас наиболее предпочтителен?</c:v>
                </c:pt>
              </c:strCache>
            </c:strRef>
          </c:tx>
          <c:spPr>
            <a:solidFill>
              <a:srgbClr val="FFC000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3"/>
                <c:pt idx="0">
                  <c:v>Официальный сайт администрации Партизанского муниципального округа</c:v>
                </c:pt>
                <c:pt idx="1">
                  <c:v>Социальные сети</c:v>
                </c:pt>
                <c:pt idx="2">
                  <c:v>Печатные издания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3"/>
                <c:pt idx="0">
                  <c:v>60</c:v>
                </c:pt>
                <c:pt idx="1">
                  <c:v>28</c:v>
                </c:pt>
                <c:pt idx="2">
                  <c:v>12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1923200"/>
        <c:axId val="111924736"/>
      </c:barChart>
      <c:catAx>
        <c:axId val="1119232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924736"/>
        <c:crosses val="autoZero"/>
        <c:auto val="1"/>
        <c:lblAlgn val="ctr"/>
        <c:lblOffset val="100"/>
        <c:noMultiLvlLbl val="0"/>
      </c:catAx>
      <c:valAx>
        <c:axId val="111924736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923200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Что Вы понимаете под открытостью бюджетных данных?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Что Вы понимаете под открытостью бюджетных данных?</c:v>
                </c:pt>
              </c:strCache>
            </c:strRef>
          </c:tx>
          <c:spPr>
            <a:solidFill>
              <a:srgbClr val="5B9BD5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Pt>
            <c:idx val="4"/>
            <c:invertIfNegative val="0"/>
            <c:bubble3D val="0"/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5"/>
                <c:pt idx="0">
                  <c:v>Возможность получать информацию о бюджете в доступной для граждан форме</c:v>
                </c:pt>
                <c:pt idx="1">
                  <c:v>Возможность участвовать в выборе направления бюджетных средств</c:v>
                </c:pt>
                <c:pt idx="2">
                  <c:v>Возможность участвовать в обсуждении вопросов по бюджетной тематике</c:v>
                </c:pt>
                <c:pt idx="3">
                  <c:v>Возможность использования материалов по бюджетной тематике для учебных целей</c:v>
                </c:pt>
                <c:pt idx="4">
                  <c:v>Все вышеперечисленные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36</c:v>
                </c:pt>
                <c:pt idx="1">
                  <c:v>12</c:v>
                </c:pt>
                <c:pt idx="2">
                  <c:v>8</c:v>
                </c:pt>
                <c:pt idx="3">
                  <c:v>4</c:v>
                </c:pt>
                <c:pt idx="4">
                  <c:v>40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1654784"/>
        <c:axId val="111656320"/>
      </c:barChart>
      <c:catAx>
        <c:axId val="111654784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656320"/>
        <c:crosses val="autoZero"/>
        <c:auto val="1"/>
        <c:lblAlgn val="ctr"/>
        <c:lblOffset val="100"/>
        <c:noMultiLvlLbl val="0"/>
      </c:catAx>
      <c:valAx>
        <c:axId val="111656320"/>
        <c:scaling>
          <c:orientation val="minMax"/>
        </c:scaling>
        <c:delete val="0"/>
        <c:axPos val="b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654784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Считаете ли Вы, что информация, представленная на сайте администрации Партизанского муниципального округа в формате «Бюджет для граждан», изложена доступно и в полном объеме?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Считаете ли Вы, что информация, представленная на сайте администрации Партизанского муниципального округа в формате «Бюджет для граждан», изложена доступно и в полном объеме?</c:v>
                </c:pt>
              </c:strCache>
            </c:strRef>
          </c:tx>
          <c:spPr>
            <a:solidFill>
              <a:srgbClr val="ED7D31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  <c:spPr>
              <a:solidFill>
                <a:srgbClr val="ED7D31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1"/>
            <c:invertIfNegative val="0"/>
            <c:bubble3D val="0"/>
            <c:spPr>
              <a:solidFill>
                <a:srgbClr val="ED7D31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2"/>
            <c:invertIfNegative val="0"/>
            <c:bubble3D val="0"/>
            <c:spPr>
              <a:solidFill>
                <a:srgbClr val="ED7D31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3"/>
            <c:invertIfNegative val="0"/>
            <c:bubble3D val="0"/>
            <c:spPr>
              <a:solidFill>
                <a:srgbClr val="ED7D31"/>
              </a:solidFill>
              <a:ln w="19080">
                <a:solidFill>
                  <a:srgbClr val="FFFFFF"/>
                </a:solidFill>
                <a:round/>
              </a:ln>
            </c:spPr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4"/>
                <c:pt idx="0">
                  <c:v>Информация изложена доступно и в полном объеме</c:v>
                </c:pt>
                <c:pt idx="1">
                  <c:v>Информация изложена в полном объеме, но сложная для восприятия</c:v>
                </c:pt>
                <c:pt idx="2">
                  <c:v>Информация не полная и сложная для восприятия</c:v>
                </c:pt>
                <c:pt idx="3">
                  <c:v>Информация изложена доступно, но требует дополнений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40</c:v>
                </c:pt>
                <c:pt idx="1">
                  <c:v>40</c:v>
                </c:pt>
                <c:pt idx="2">
                  <c:v>16</c:v>
                </c:pt>
                <c:pt idx="3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1755648"/>
        <c:axId val="111757184"/>
      </c:barChart>
      <c:catAx>
        <c:axId val="111755648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757184"/>
        <c:crosses val="autoZero"/>
        <c:auto val="1"/>
        <c:lblAlgn val="ctr"/>
        <c:lblOffset val="100"/>
        <c:noMultiLvlLbl val="0"/>
      </c:catAx>
      <c:valAx>
        <c:axId val="111757184"/>
        <c:scaling>
          <c:orientation val="minMax"/>
        </c:scaling>
        <c:delete val="0"/>
        <c:axPos val="b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755648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lang="ru-RU"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Какая информация в "Бюджете для граждан" для Вас наиболее интересна?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Какая информация в "Бюджете для граждан" для Вас наиболее интересна? (выбрать один или несколько вариантов ответов)</c:v>
                </c:pt>
              </c:strCache>
            </c:strRef>
          </c:tx>
          <c:spPr>
            <a:solidFill>
              <a:srgbClr val="70AD47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Pt>
            <c:idx val="4"/>
            <c:invertIfNegative val="0"/>
            <c:bubble3D val="0"/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5"/>
                <c:pt idx="0">
                  <c:v>Реализуемые муниципальные программы</c:v>
                </c:pt>
                <c:pt idx="1">
                  <c:v>Структура и динамика расходов бюджета</c:v>
                </c:pt>
                <c:pt idx="2">
                  <c:v>Показатели социально-экономического развития</c:v>
                </c:pt>
                <c:pt idx="3">
                  <c:v>Инициативное бюджетирование</c:v>
                </c:pt>
                <c:pt idx="4">
                  <c:v>Структура и динамика доходов бюджета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30.8</c:v>
                </c:pt>
                <c:pt idx="1">
                  <c:v>26.9</c:v>
                </c:pt>
                <c:pt idx="2">
                  <c:v>17.3</c:v>
                </c:pt>
                <c:pt idx="3">
                  <c:v>13.5</c:v>
                </c:pt>
                <c:pt idx="4">
                  <c:v>11.5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1905024"/>
        <c:axId val="111947776"/>
      </c:barChart>
      <c:catAx>
        <c:axId val="111905024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947776"/>
        <c:crosses val="autoZero"/>
        <c:auto val="1"/>
        <c:lblAlgn val="ctr"/>
        <c:lblOffset val="100"/>
        <c:noMultiLvlLbl val="0"/>
      </c:catAx>
      <c:valAx>
        <c:axId val="111947776"/>
        <c:scaling>
          <c:orientation val="minMax"/>
        </c:scaling>
        <c:delete val="0"/>
        <c:axPos val="b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1905024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lang="ru-RU"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Какая информация об исполнении бюджета Партизанского муниципального округа Вам наиболее интересна?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Какая информация об исполнении бюджета Партизанского муниципального округа Вам наиболее интересна? (выбрать один или несколько вариантов ответов)</c:v>
                </c:pt>
              </c:strCache>
            </c:strRef>
          </c:tx>
          <c:spPr>
            <a:solidFill>
              <a:srgbClr val="FFC000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  <c:spPr>
              <a:solidFill>
                <a:srgbClr val="FFC000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1"/>
            <c:invertIfNegative val="0"/>
            <c:bubble3D val="0"/>
            <c:spPr>
              <a:solidFill>
                <a:srgbClr val="FFC000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2"/>
            <c:invertIfNegative val="0"/>
            <c:bubble3D val="0"/>
            <c:spPr>
              <a:solidFill>
                <a:srgbClr val="FFC000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3"/>
            <c:invertIfNegative val="0"/>
            <c:bubble3D val="0"/>
            <c:spPr>
              <a:solidFill>
                <a:srgbClr val="FFC000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4"/>
            <c:invertIfNegative val="0"/>
            <c:bubble3D val="0"/>
            <c:spPr>
              <a:solidFill>
                <a:srgbClr val="FFC000"/>
              </a:solidFill>
              <a:ln w="19080">
                <a:solidFill>
                  <a:srgbClr val="FFFFFF"/>
                </a:solidFill>
                <a:round/>
              </a:ln>
            </c:spPr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5"/>
                <c:pt idx="0">
                  <c:v>Какие объекты социальной инфраструктуры созданы, реконструированы, отремонтированы</c:v>
                </c:pt>
                <c:pt idx="1">
                  <c:v>Куда больше всего направлено бюджетных средств</c:v>
                </c:pt>
                <c:pt idx="2">
                  <c:v>Каков результат исполнения бюджета</c:v>
                </c:pt>
                <c:pt idx="3">
                  <c:v>Как исполняется бюджет</c:v>
                </c:pt>
                <c:pt idx="4">
                  <c:v>Затрудняюсь с ответом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33.299999999999997</c:v>
                </c:pt>
                <c:pt idx="1">
                  <c:v>27.5</c:v>
                </c:pt>
                <c:pt idx="2">
                  <c:v>21.6</c:v>
                </c:pt>
                <c:pt idx="3">
                  <c:v>17.600000000000001</c:v>
                </c:pt>
                <c:pt idx="4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2020864"/>
        <c:axId val="112022656"/>
      </c:barChart>
      <c:catAx>
        <c:axId val="112020864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2022656"/>
        <c:crosses val="autoZero"/>
        <c:auto val="1"/>
        <c:lblAlgn val="ctr"/>
        <c:lblOffset val="100"/>
        <c:noMultiLvlLbl val="0"/>
      </c:catAx>
      <c:valAx>
        <c:axId val="112022656"/>
        <c:scaling>
          <c:orientation val="minMax"/>
        </c:scaling>
        <c:delete val="0"/>
        <c:axPos val="b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2020864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lang="ru-RU"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Какая информация о доходах бюджета Партизанского муниципального округа Вам наиболее интересна?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Какая информация о доходах бюджета Партизанского муниципального округа Вам наиболее интересна? (выбрать один или несколько вариантов ответов)</c:v>
                </c:pt>
              </c:strCache>
            </c:strRef>
          </c:tx>
          <c:spPr>
            <a:solidFill>
              <a:srgbClr val="5B9BD5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  <c:spPr>
              <a:solidFill>
                <a:srgbClr val="5B9BD5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1"/>
            <c:invertIfNegative val="0"/>
            <c:bubble3D val="0"/>
            <c:spPr>
              <a:solidFill>
                <a:srgbClr val="5B9BD5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2"/>
            <c:invertIfNegative val="0"/>
            <c:bubble3D val="0"/>
            <c:spPr>
              <a:solidFill>
                <a:srgbClr val="5B9BD5"/>
              </a:solidFill>
              <a:ln w="19080">
                <a:solidFill>
                  <a:srgbClr val="FFFFFF"/>
                </a:solidFill>
                <a:round/>
              </a:ln>
            </c:spPr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3"/>
                <c:pt idx="0">
                  <c:v>Источники формирования налоговых и неналоговых доходов</c:v>
                </c:pt>
                <c:pt idx="1">
                  <c:v>Структура поступлений по годам</c:v>
                </c:pt>
                <c:pt idx="2">
                  <c:v>Затрудняюсь с ответом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3"/>
                <c:pt idx="0">
                  <c:v>64.3</c:v>
                </c:pt>
                <c:pt idx="1">
                  <c:v>21.4</c:v>
                </c:pt>
                <c:pt idx="2">
                  <c:v>14.3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3123328"/>
        <c:axId val="113124864"/>
      </c:barChart>
      <c:catAx>
        <c:axId val="113123328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3124864"/>
        <c:crosses val="autoZero"/>
        <c:auto val="1"/>
        <c:lblAlgn val="ctr"/>
        <c:lblOffset val="100"/>
        <c:noMultiLvlLbl val="0"/>
      </c:catAx>
      <c:valAx>
        <c:axId val="113124864"/>
        <c:scaling>
          <c:orientation val="minMax"/>
        </c:scaling>
        <c:delete val="0"/>
        <c:axPos val="b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3123328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Что, по Вашему мнению, означает участие граждан в бюджетном процессе?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Что, по Вашему мнению, означает участие граждан в бюджетном процессе?</c:v>
                </c:pt>
              </c:strCache>
            </c:strRef>
          </c:tx>
          <c:spPr>
            <a:solidFill>
              <a:srgbClr val="70AD47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4"/>
                <c:pt idx="0">
                  <c:v>Внесение предложений по направлениям расходования средств бюджета</c:v>
                </c:pt>
                <c:pt idx="1">
                  <c:v>Общественное обсуждение проекта бюджета</c:v>
                </c:pt>
                <c:pt idx="2">
                  <c:v>Участие в софинансировании расходов бюджета</c:v>
                </c:pt>
                <c:pt idx="3">
                  <c:v>Затрудняюсь ответить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48</c:v>
                </c:pt>
                <c:pt idx="1">
                  <c:v>44</c:v>
                </c:pt>
                <c:pt idx="2">
                  <c:v>1</c:v>
                </c:pt>
                <c:pt idx="3">
                  <c:v>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3452544"/>
        <c:axId val="113454080"/>
      </c:barChart>
      <c:catAx>
        <c:axId val="113452544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3454080"/>
        <c:crosses val="autoZero"/>
        <c:auto val="1"/>
        <c:lblAlgn val="ctr"/>
        <c:lblOffset val="100"/>
        <c:noMultiLvlLbl val="0"/>
      </c:catAx>
      <c:valAx>
        <c:axId val="113454080"/>
        <c:scaling>
          <c:orientation val="minMax"/>
        </c:scaling>
        <c:delete val="0"/>
        <c:axPos val="b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3452544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Как вы думаете, для чего проводятся публичные слушания?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Как вы думаете, для чего проводятся публичные слушания?</c:v>
                </c:pt>
              </c:strCache>
            </c:strRef>
          </c:tx>
          <c:spPr>
            <a:solidFill>
              <a:srgbClr val="ED7D31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  <c:spPr>
              <a:solidFill>
                <a:srgbClr val="ED7D31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1"/>
            <c:invertIfNegative val="0"/>
            <c:bubble3D val="0"/>
            <c:spPr>
              <a:solidFill>
                <a:srgbClr val="ED7D31"/>
              </a:solidFill>
              <a:ln w="19080">
                <a:solidFill>
                  <a:srgbClr val="FFFFFF"/>
                </a:solidFill>
                <a:round/>
              </a:ln>
            </c:spPr>
          </c:dPt>
          <c:dPt>
            <c:idx val="2"/>
            <c:invertIfNegative val="0"/>
            <c:bubble3D val="0"/>
            <c:spPr>
              <a:solidFill>
                <a:srgbClr val="ED7D31"/>
              </a:solidFill>
              <a:ln w="19080">
                <a:solidFill>
                  <a:srgbClr val="FFFFFF"/>
                </a:solidFill>
                <a:round/>
              </a:ln>
            </c:spPr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3"/>
                <c:pt idx="0">
                  <c:v>Для выявления общественного мнения</c:v>
                </c:pt>
                <c:pt idx="1">
                  <c:v>Это формальная процедура</c:v>
                </c:pt>
                <c:pt idx="2">
                  <c:v>Затрудняюсь ответить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3"/>
                <c:pt idx="0">
                  <c:v>48</c:v>
                </c:pt>
                <c:pt idx="1">
                  <c:v>48</c:v>
                </c:pt>
                <c:pt idx="2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3506560"/>
        <c:axId val="113188864"/>
      </c:barChart>
      <c:catAx>
        <c:axId val="1135065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3188864"/>
        <c:crosses val="autoZero"/>
        <c:auto val="1"/>
        <c:lblAlgn val="ctr"/>
        <c:lblOffset val="100"/>
        <c:noMultiLvlLbl val="0"/>
      </c:catAx>
      <c:valAx>
        <c:axId val="113188864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3506560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 rot="0"/>
          <a:lstStyle/>
          <a:p>
            <a:pPr>
              <a:defRPr sz="1440" b="0" strike="noStrike" spc="-1">
                <a:solidFill>
                  <a:srgbClr val="000000"/>
                </a:solidFill>
                <a:latin typeface="Times New Roman"/>
              </a:defRPr>
            </a:pPr>
            <a:r>
              <a:rPr lang="ru-RU" sz="1440" b="0" strike="noStrike" spc="-1">
                <a:solidFill>
                  <a:srgbClr val="000000"/>
                </a:solidFill>
                <a:latin typeface="Times New Roman"/>
              </a:rPr>
              <a:t>Участвуете ли Вы в публичных слушаниях по утверждению и исполнению бюджета?</a:t>
            </a:r>
          </a:p>
        </c:rich>
      </c:tx>
      <c:layout/>
      <c:overlay val="0"/>
      <c:spPr>
        <a:noFill/>
        <a:ln w="0">
          <a:noFill/>
        </a:ln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Участвуете ли Вы в публичных слушаниях по утверждению и исполнению бюджета?</c:v>
                </c:pt>
              </c:strCache>
            </c:strRef>
          </c:tx>
          <c:spPr>
            <a:solidFill>
              <a:srgbClr val="4472C4"/>
            </a:solidFill>
            <a:ln w="19080">
              <a:solidFill>
                <a:srgbClr val="FFFFFF"/>
              </a:solidFill>
              <a:round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Lbls>
            <c:txPr>
              <a:bodyPr wrap="square"/>
              <a:lstStyle/>
              <a:p>
                <a:pPr>
                  <a:defRPr sz="1200" b="0" strike="noStrike" spc="-1">
                    <a:solidFill>
                      <a:srgbClr val="000000"/>
                    </a:solidFill>
                    <a:latin typeface="Times New Roman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1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categories</c:f>
              <c:strCache>
                <c:ptCount val="4"/>
                <c:pt idx="0">
                  <c:v>Хотел бы, но не знаю, когда и где они проходят</c:v>
                </c:pt>
                <c:pt idx="1">
                  <c:v>Нет, меня это не интересует</c:v>
                </c:pt>
                <c:pt idx="2">
                  <c:v>Не знаю о такой возможности</c:v>
                </c:pt>
                <c:pt idx="3">
                  <c:v>Да, принимаю участие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44</c:v>
                </c:pt>
                <c:pt idx="1">
                  <c:v>28</c:v>
                </c:pt>
                <c:pt idx="2">
                  <c:v>16</c:v>
                </c:pt>
                <c:pt idx="3">
                  <c:v>12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13249280"/>
        <c:axId val="113267456"/>
      </c:barChart>
      <c:catAx>
        <c:axId val="11324928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3267456"/>
        <c:crosses val="autoZero"/>
        <c:auto val="1"/>
        <c:lblAlgn val="ctr"/>
        <c:lblOffset val="100"/>
        <c:noMultiLvlLbl val="0"/>
      </c:catAx>
      <c:valAx>
        <c:axId val="113267456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out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sz="1200" b="0" strike="noStrike" spc="-1">
                <a:solidFill>
                  <a:srgbClr val="000000"/>
                </a:solidFill>
                <a:latin typeface="Times New Roman"/>
              </a:defRPr>
            </a:pPr>
            <a:endParaRPr lang="ru-RU"/>
          </a:p>
        </c:txPr>
        <c:crossAx val="113249280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  <c:showDLblsOverMax val="1"/>
  </c:chart>
  <c:spPr>
    <a:solidFill>
      <a:srgbClr val="FFFFFF"/>
    </a:solidFill>
    <a:ln w="12600">
      <a:solidFill>
        <a:srgbClr val="000000"/>
      </a:solidFill>
      <a:round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65C50A-3A41-415D-A03F-387DA708C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7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</dc:creator>
  <dc:description/>
  <cp:lastModifiedBy>User_fin03</cp:lastModifiedBy>
  <cp:revision>37</cp:revision>
  <dcterms:created xsi:type="dcterms:W3CDTF">2024-11-28T13:12:00Z</dcterms:created>
  <dcterms:modified xsi:type="dcterms:W3CDTF">2024-12-06T06:31:00Z</dcterms:modified>
  <dc:language>ru-RU</dc:language>
</cp:coreProperties>
</file>